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ascii="黑体" w:hAnsi="黑体" w:eastAsia="黑体"/>
          <w:sz w:val="40"/>
          <w:szCs w:val="40"/>
        </w:rPr>
      </w:pPr>
      <w:r>
        <w:rPr>
          <w:rFonts w:hint="eastAsia" w:ascii="黑体" w:hAnsi="黑体" w:eastAsia="黑体"/>
          <w:sz w:val="40"/>
          <w:szCs w:val="40"/>
        </w:rPr>
        <w:t>三明农校</w:t>
      </w:r>
      <w:r>
        <w:rPr>
          <w:rFonts w:hint="eastAsia" w:ascii="黑体" w:hAnsi="黑体" w:eastAsia="黑体"/>
          <w:sz w:val="40"/>
          <w:szCs w:val="40"/>
          <w:lang w:eastAsia="zh-CN"/>
        </w:rPr>
        <w:t>教材</w:t>
      </w:r>
      <w:r>
        <w:rPr>
          <w:rFonts w:hint="eastAsia" w:ascii="黑体" w:hAnsi="黑体" w:eastAsia="黑体"/>
          <w:sz w:val="40"/>
          <w:szCs w:val="40"/>
        </w:rPr>
        <w:t>采购询价单</w:t>
      </w:r>
    </w:p>
    <w:tbl>
      <w:tblPr>
        <w:tblStyle w:val="6"/>
        <w:tblW w:w="91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3"/>
        <w:gridCol w:w="1819"/>
        <w:gridCol w:w="2692"/>
        <w:gridCol w:w="1210"/>
        <w:gridCol w:w="1404"/>
        <w:gridCol w:w="11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853"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eastAsia" w:ascii="宋体" w:hAnsi="宋体"/>
                <w:b/>
                <w:sz w:val="28"/>
                <w:szCs w:val="28"/>
                <w:lang w:eastAsia="zh-CN"/>
              </w:rPr>
            </w:pPr>
            <w:r>
              <w:rPr>
                <w:rFonts w:hint="eastAsia" w:ascii="宋体" w:hAnsi="宋体"/>
                <w:b/>
                <w:sz w:val="28"/>
                <w:szCs w:val="28"/>
                <w:lang w:eastAsia="zh-CN"/>
              </w:rPr>
              <w:t>序号</w:t>
            </w:r>
          </w:p>
        </w:tc>
        <w:tc>
          <w:tcPr>
            <w:tcW w:w="1819"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eastAsia" w:ascii="宋体" w:hAnsi="宋体"/>
                <w:b/>
                <w:sz w:val="28"/>
                <w:szCs w:val="28"/>
              </w:rPr>
            </w:pPr>
            <w:r>
              <w:rPr>
                <w:rFonts w:hint="eastAsia" w:ascii="宋体" w:hAnsi="宋体"/>
                <w:b/>
                <w:sz w:val="28"/>
                <w:szCs w:val="28"/>
              </w:rPr>
              <w:t>供应商名称</w:t>
            </w:r>
          </w:p>
        </w:tc>
        <w:tc>
          <w:tcPr>
            <w:tcW w:w="269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b/>
                <w:sz w:val="28"/>
                <w:szCs w:val="28"/>
                <w:lang w:eastAsia="zh-CN"/>
              </w:rPr>
            </w:pPr>
            <w:r>
              <w:rPr>
                <w:rFonts w:hint="eastAsia" w:ascii="宋体" w:hAnsi="宋体"/>
                <w:b/>
                <w:sz w:val="28"/>
                <w:szCs w:val="28"/>
                <w:lang w:eastAsia="zh-CN"/>
              </w:rPr>
              <w:t>地址</w:t>
            </w:r>
          </w:p>
        </w:tc>
        <w:tc>
          <w:tcPr>
            <w:tcW w:w="121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b/>
                <w:sz w:val="28"/>
                <w:szCs w:val="28"/>
                <w:lang w:eastAsia="zh-CN"/>
              </w:rPr>
            </w:pPr>
            <w:r>
              <w:rPr>
                <w:rFonts w:hint="eastAsia" w:ascii="宋体" w:hAnsi="宋体"/>
                <w:b/>
                <w:sz w:val="28"/>
                <w:szCs w:val="28"/>
                <w:lang w:eastAsia="zh-CN"/>
              </w:rPr>
              <w:t>联系人</w:t>
            </w:r>
          </w:p>
        </w:tc>
        <w:tc>
          <w:tcPr>
            <w:tcW w:w="140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b/>
                <w:sz w:val="28"/>
                <w:szCs w:val="28"/>
                <w:lang w:eastAsia="zh-CN"/>
              </w:rPr>
            </w:pPr>
            <w:r>
              <w:rPr>
                <w:rFonts w:hint="eastAsia" w:ascii="宋体" w:hAnsi="宋体"/>
                <w:b/>
                <w:sz w:val="28"/>
                <w:szCs w:val="28"/>
                <w:lang w:eastAsia="zh-CN"/>
              </w:rPr>
              <w:t>联系电话</w:t>
            </w:r>
          </w:p>
        </w:tc>
        <w:tc>
          <w:tcPr>
            <w:tcW w:w="113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b/>
                <w:sz w:val="28"/>
                <w:szCs w:val="28"/>
              </w:rPr>
            </w:pPr>
            <w:r>
              <w:rPr>
                <w:rFonts w:hint="eastAsia" w:ascii="宋体" w:hAnsi="宋体"/>
                <w:b/>
                <w:sz w:val="28"/>
                <w:szCs w:val="28"/>
                <w:lang w:eastAsia="zh-CN"/>
              </w:rPr>
              <w:t>折扣率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2" w:hRule="atLeast"/>
          <w:jc w:val="center"/>
        </w:trPr>
        <w:tc>
          <w:tcPr>
            <w:tcW w:w="853" w:type="dxa"/>
            <w:tcBorders>
              <w:top w:val="single" w:color="auto" w:sz="6" w:space="0"/>
              <w:left w:val="single" w:color="auto" w:sz="6" w:space="0"/>
              <w:right w:val="single" w:color="auto" w:sz="4" w:space="0"/>
            </w:tcBorders>
            <w:vAlign w:val="center"/>
          </w:tcPr>
          <w:p>
            <w:pPr>
              <w:jc w:val="center"/>
              <w:rPr>
                <w:rFonts w:hint="eastAsia"/>
              </w:rPr>
            </w:pPr>
            <w:r>
              <w:rPr>
                <w:rFonts w:hint="eastAsia"/>
              </w:rPr>
              <w:t>1</w:t>
            </w:r>
          </w:p>
        </w:tc>
        <w:tc>
          <w:tcPr>
            <w:tcW w:w="1819" w:type="dxa"/>
            <w:tcBorders>
              <w:top w:val="single" w:color="auto" w:sz="6" w:space="0"/>
              <w:left w:val="single" w:color="auto" w:sz="4" w:space="0"/>
              <w:right w:val="single" w:color="auto" w:sz="6" w:space="0"/>
            </w:tcBorders>
            <w:vAlign w:val="center"/>
          </w:tcPr>
          <w:p>
            <w:pPr>
              <w:jc w:val="center"/>
              <w:rPr>
                <w:rFonts w:hint="eastAsia"/>
              </w:rPr>
            </w:pPr>
          </w:p>
        </w:tc>
        <w:tc>
          <w:tcPr>
            <w:tcW w:w="2692" w:type="dxa"/>
            <w:tcBorders>
              <w:top w:val="single" w:color="auto" w:sz="6" w:space="0"/>
              <w:left w:val="single" w:color="auto" w:sz="6" w:space="0"/>
              <w:right w:val="single" w:color="auto" w:sz="6" w:space="0"/>
            </w:tcBorders>
            <w:vAlign w:val="center"/>
          </w:tcPr>
          <w:p>
            <w:pPr>
              <w:jc w:val="center"/>
              <w:rPr>
                <w:rFonts w:hint="eastAsia"/>
              </w:rPr>
            </w:pPr>
          </w:p>
        </w:tc>
        <w:tc>
          <w:tcPr>
            <w:tcW w:w="1210" w:type="dxa"/>
            <w:tcBorders>
              <w:top w:val="single" w:color="auto" w:sz="6" w:space="0"/>
              <w:left w:val="single" w:color="auto" w:sz="6" w:space="0"/>
              <w:right w:val="single" w:color="auto" w:sz="6" w:space="0"/>
            </w:tcBorders>
            <w:vAlign w:val="center"/>
          </w:tcPr>
          <w:p>
            <w:pPr>
              <w:jc w:val="center"/>
              <w:rPr>
                <w:rFonts w:hint="eastAsia"/>
              </w:rPr>
            </w:pPr>
          </w:p>
        </w:tc>
        <w:tc>
          <w:tcPr>
            <w:tcW w:w="1404" w:type="dxa"/>
            <w:tcBorders>
              <w:top w:val="single" w:color="auto" w:sz="6" w:space="0"/>
              <w:left w:val="single" w:color="auto" w:sz="6" w:space="0"/>
              <w:right w:val="single" w:color="auto" w:sz="6" w:space="0"/>
            </w:tcBorders>
            <w:vAlign w:val="center"/>
          </w:tcPr>
          <w:p>
            <w:pPr>
              <w:jc w:val="center"/>
              <w:rPr>
                <w:rFonts w:hint="eastAsia"/>
              </w:rPr>
            </w:pPr>
          </w:p>
        </w:tc>
        <w:tc>
          <w:tcPr>
            <w:tcW w:w="1139" w:type="dxa"/>
            <w:tcBorders>
              <w:top w:val="single" w:color="auto" w:sz="6" w:space="0"/>
              <w:left w:val="single" w:color="auto" w:sz="6" w:space="0"/>
              <w:right w:val="single" w:color="auto" w:sz="6" w:space="0"/>
            </w:tcBorders>
            <w:vAlign w:val="center"/>
          </w:tcPr>
          <w:p>
            <w:pPr>
              <w:jc w:val="center"/>
              <w:rPr>
                <w:rFonts w:hint="eastAsia"/>
              </w:rPr>
            </w:pPr>
          </w:p>
        </w:tc>
      </w:tr>
    </w:tbl>
    <w:p/>
    <w:p>
      <w:pPr>
        <w:spacing w:line="360" w:lineRule="auto"/>
        <w:jc w:val="right"/>
        <w:rPr>
          <w:rFonts w:hint="eastAsia" w:ascii="仿宋_GB2312" w:eastAsia="仿宋_GB2312"/>
          <w:sz w:val="28"/>
          <w:szCs w:val="28"/>
        </w:rPr>
      </w:pPr>
    </w:p>
    <w:p>
      <w:pPr>
        <w:spacing w:line="360" w:lineRule="auto"/>
        <w:jc w:val="center"/>
        <w:rPr>
          <w:rFonts w:hint="eastAsia" w:ascii="仿宋_GB2312" w:eastAsia="仿宋_GB2312"/>
          <w:sz w:val="28"/>
          <w:szCs w:val="28"/>
          <w:lang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报价人姓名</w:t>
      </w:r>
      <w:r>
        <w:rPr>
          <w:rFonts w:hint="eastAsia" w:ascii="仿宋_GB2312" w:eastAsia="仿宋_GB2312"/>
          <w:sz w:val="28"/>
          <w:szCs w:val="28"/>
          <w:lang w:eastAsia="zh-CN"/>
        </w:rPr>
        <w:t>：</w:t>
      </w:r>
      <w:bookmarkStart w:id="0" w:name="_GoBack"/>
      <w:bookmarkEnd w:id="0"/>
    </w:p>
    <w:p>
      <w:pPr>
        <w:spacing w:line="360" w:lineRule="auto"/>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联系</w:t>
      </w:r>
      <w:r>
        <w:rPr>
          <w:rFonts w:hint="eastAsia" w:ascii="仿宋_GB2312" w:eastAsia="仿宋_GB2312"/>
          <w:sz w:val="28"/>
          <w:szCs w:val="28"/>
        </w:rPr>
        <w:t>电话</w:t>
      </w:r>
      <w:r>
        <w:rPr>
          <w:rFonts w:hint="eastAsia" w:ascii="仿宋_GB2312" w:eastAsia="仿宋_GB2312"/>
          <w:sz w:val="28"/>
          <w:szCs w:val="28"/>
          <w:lang w:val="en-US" w:eastAsia="zh-CN"/>
        </w:rPr>
        <w:t>：</w:t>
      </w:r>
    </w:p>
    <w:p>
      <w:pPr>
        <w:spacing w:line="360" w:lineRule="auto"/>
        <w:jc w:val="center"/>
        <w:rPr>
          <w:rFonts w:hint="eastAsia" w:ascii="仿宋_GB2312" w:eastAsia="仿宋_GB2312"/>
          <w:sz w:val="28"/>
          <w:szCs w:val="28"/>
          <w:lang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报价单位</w:t>
      </w:r>
      <w:r>
        <w:rPr>
          <w:rFonts w:hint="eastAsia" w:ascii="仿宋_GB2312" w:eastAsia="仿宋_GB2312"/>
          <w:sz w:val="28"/>
          <w:szCs w:val="28"/>
          <w:lang w:eastAsia="zh-CN"/>
        </w:rPr>
        <w:t>：</w:t>
      </w:r>
    </w:p>
    <w:p>
      <w:pPr>
        <w:spacing w:line="360" w:lineRule="auto"/>
        <w:jc w:val="center"/>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（盖章）</w:t>
      </w:r>
    </w:p>
    <w:p>
      <w:pPr>
        <w:wordWrap/>
        <w:spacing w:line="360" w:lineRule="auto"/>
        <w:jc w:val="center"/>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spacing w:line="240" w:lineRule="auto"/>
        <w:jc w:val="center"/>
        <w:rPr>
          <w:rFonts w:hint="eastAsia" w:ascii="仿宋_GB2312" w:eastAsia="仿宋_GB2312"/>
          <w:sz w:val="36"/>
          <w:szCs w:val="36"/>
        </w:rPr>
      </w:pPr>
      <w:r>
        <w:rPr>
          <w:rFonts w:ascii="仿宋_GB2312" w:eastAsia="仿宋_GB2312"/>
          <w:sz w:val="28"/>
          <w:szCs w:val="28"/>
        </w:rPr>
        <w:br w:type="page"/>
      </w:r>
      <w:r>
        <w:rPr>
          <w:rFonts w:hint="eastAsia" w:ascii="仿宋_GB2312" w:eastAsia="仿宋_GB2312"/>
          <w:sz w:val="36"/>
          <w:szCs w:val="36"/>
        </w:rPr>
        <w:t>采购内容及要求</w:t>
      </w:r>
    </w:p>
    <w:p>
      <w:pPr>
        <w:spacing w:line="240" w:lineRule="auto"/>
        <w:rPr>
          <w:rFonts w:hint="eastAsia" w:ascii="仿宋_GB2312" w:eastAsia="仿宋_GB2312"/>
          <w:sz w:val="28"/>
          <w:szCs w:val="28"/>
        </w:rPr>
      </w:pPr>
      <w:r>
        <w:rPr>
          <w:rFonts w:hint="eastAsia" w:ascii="仿宋_GB2312" w:eastAsia="仿宋_GB2312"/>
          <w:sz w:val="28"/>
          <w:szCs w:val="28"/>
        </w:rPr>
        <w:t>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一、项目概况</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项 目 名 称：三明农校教材采购项目</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采购预算：码洋人民币1</w:t>
      </w:r>
      <w:r>
        <w:rPr>
          <w:rFonts w:hint="eastAsia" w:ascii="仿宋_GB2312" w:eastAsia="仿宋_GB2312"/>
          <w:sz w:val="28"/>
          <w:szCs w:val="28"/>
          <w:lang w:val="en-US" w:eastAsia="zh-CN"/>
        </w:rPr>
        <w:t>7</w:t>
      </w:r>
      <w:r>
        <w:rPr>
          <w:rFonts w:hint="eastAsia" w:ascii="仿宋_GB2312" w:eastAsia="仿宋_GB2312"/>
          <w:sz w:val="28"/>
          <w:szCs w:val="28"/>
        </w:rPr>
        <w:t>0万元/年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书款结算方式：实洋=码洋*中标折扣率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二、技术要求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1.基本服务要求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（1）教材按采购人要求分类打包、标识；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（2）所有教材均免费运送、装卸；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（3）根据采购人提供分完整、准确的教材清单进行发行和结算；</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（4）无条件受理教材补订、急订等业务，零星教材应于一周内派送到位；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（5）中标人按采购人确定教材清单配书，教材到货率不得低于95%，到货率低于95%学校不予验收，特殊原因(如出版变更、不可测因素)应作出合理说明并征得采购方同意者除外；</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（6）在约定时间内派人员到校办理后续业务，一年不少于两次；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（7）有质量问题的教材无条件退换货；</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（8）接受当季剩余全新教材退货并承担退货费用；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（9）对账时能够提供完整、准确的教材发放和结算清单；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2.教材质量要求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（1）投标人必须保证所提供的教材是2014年以来国家正规出版社出版并公开发行的适合中职学生的正版教材。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（2）所提供的教材必须是正版教材，若出现盗版书或发生版权纠纷，其一切后果均由投标人负责，与采购人无关，采购人对其盗版行为还将通过有关部门追究其法律及赔偿责任。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（3）所供教材符合中华人民共和国出版行业标准《印刷产品质量评价和分等导则》（CY/T 2-1999）的规定。教材印刷质量参照GB/T18359-2001《中小学教科书用纸、印刷质量标准和检验方法》和《中小学教科书幅面尺寸及版面通用标准》的有关规定执行。所供教材成品质量必须达到合格级以上，具体为：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①外观：开本尺寸符合设 计要求，书脊平直，成型平实整齐，精装书壳无拱翘，书槽平直规矩，平装书勒口平直、前后对称，封面联折页长度与书芯长度一致，书芯用纸无色差。</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②封面、插图印刷：套印准确，字、图、点线印迹清楚、层次分明、轮廓实；墨色均匀厚实、色彩有光泽、肤色正、接版准确、色调深浅一致；不花、不毛、不糊、无回胶印、背面不脏。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③正文印刷：全书前后墨色、压力轻重一致；版面端正、正反套印准确；文字、标点清晰，无缺笔断划、标题黑实不花、小字不糊不瞎。</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④装订：书芯折配加工规范，页码位置一致、排序正确；胶订书背胶施胶均匀牢固，无空泡、溢胶、野胶；精装书壳内衬粘贴平实、无粘口开胶翘曲，三面飘口尺寸一致；书背布粘贴牢固、平整规范，上下左右居中，长度短于书背长：书芯锁线松紧适度，不露针露线、不影响书页开合；骑马订、平钉装订位正确，钉脚不翘、无断丝、凸肚、钉距匀称、坚实牢固、易翻不脱；封面覆膜粘接牢固，表面光滑平整、无皱折、气泡，膜内无杂质。</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3.</w:t>
      </w:r>
      <w:r>
        <w:rPr>
          <w:rFonts w:hint="eastAsia" w:ascii="仿宋_GB2312" w:eastAsia="仿宋_GB2312"/>
          <w:sz w:val="28"/>
          <w:szCs w:val="28"/>
        </w:rPr>
        <w:t>书目及订单提交</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（1）中标人必须根据采购人的实际需要，于春、秋两季及时免费向采购人提供2014年以来国家正规出版社出版并公开发行的适合中职学生的正版教材，数量以采购人实际需要为准；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（2）中标人必须根据采购人要求，随时提供采购人所需要的任何出版社的最新教材预订目录和各种出版、改版或停版信息；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（3）中标人的教材订购以采购人提供的订单为准。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z w:val="28"/>
          <w:szCs w:val="28"/>
        </w:rPr>
        <w:t>订单确认及回告</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中标人负责对采购人送达的教材订单及时进行确认和采购，在4个工作日内反馈报订情况。对因出版社无书供应或加印时间问题等无法按时采购到位的教材应在2个工作日内反馈，并主动告知出版社提供的出书和预计到货时间，及时沟通协商调整教材的使用订购方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（2）中标人应无条件接收采购人的追补教材订单（品种和数量不限），并保证在24小时内向采购人回告该书有无，以便采购人重新选购教材。追加教材的折扣率与中标价的折扣率一致。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5.到货时间保证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采购人报订的教材，正常应于每学期开学前15个日历日全部到校。保证采购的教材，能按采购人要求的到货时间、品种、数量、分包方式、清单格式、免费搬运等，送至采购人指定的地点入库上架和按要求发放给相应班级。</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（2）对于开学前后追加、增补、急件教材，应保证在收到征订单后15个日历日内将书送到指 定书库或直接发放给班级或学生，对已出版的现货教材，每延迟1天将扣除200元作为违约赔偿金。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（3）对于没有现货待加印的教材，中标人应及时告知，并采取复印该教材的部分章节供学生上课使用，复印费用由中标人支付；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（4）对于不在春、秋两季大宗教材预订时间内订购的教材，属于急用追订教材，中标人在接到订单后24小时内反馈受理情况，并在15个日历日内供货。</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6、退货及调换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（1）对于采购人当季因当招生计划变更、学生报到不足等多余的教材，中标人应承诺给予退货（校本教材、采购人自愿保留的教材、学生使用过或涂写过或造成污损的教材除外）；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（2）教材验收如发现配错、破损、漏页、严重污损等影响使用的教材，中标人应承诺给予调换，调换时间不超过10个日历日。</w:t>
      </w:r>
    </w:p>
    <w:p>
      <w:pPr>
        <w:spacing w:line="240" w:lineRule="auto"/>
        <w:ind w:firstLine="560" w:firstLineChars="200"/>
        <w:rPr>
          <w:rFonts w:hint="eastAsia" w:ascii="仿宋_GB2312" w:eastAsia="仿宋_GB2312"/>
          <w:sz w:val="28"/>
          <w:szCs w:val="28"/>
        </w:rPr>
      </w:pPr>
      <w:r>
        <w:rPr>
          <w:rFonts w:hint="eastAsia" w:ascii="仿宋_GB2312" w:eastAsia="仿宋_GB2312"/>
          <w:sz w:val="28"/>
          <w:szCs w:val="28"/>
        </w:rPr>
        <w:t>三、商务条件</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1.</w:t>
      </w:r>
      <w:r>
        <w:rPr>
          <w:rFonts w:hint="eastAsia" w:ascii="仿宋_GB2312" w:eastAsia="仿宋_GB2312"/>
          <w:sz w:val="28"/>
          <w:szCs w:val="28"/>
        </w:rPr>
        <w:t>交付地点：福建省三明市沙县三明市沙县城关华山三明农校 </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2.</w:t>
      </w:r>
      <w:r>
        <w:rPr>
          <w:rFonts w:hint="eastAsia" w:ascii="仿宋_GB2312" w:eastAsia="仿宋_GB2312"/>
          <w:sz w:val="28"/>
          <w:szCs w:val="28"/>
        </w:rPr>
        <w:t>交付时间：合同签订后 (15) 天内交货</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3.</w:t>
      </w:r>
      <w:r>
        <w:rPr>
          <w:rFonts w:hint="eastAsia" w:ascii="仿宋_GB2312" w:eastAsia="仿宋_GB2312"/>
          <w:sz w:val="28"/>
          <w:szCs w:val="28"/>
        </w:rPr>
        <w:t>交付条件：按采购人规定时间，15天内100%到校，保证每学期开学前到货。</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4.</w:t>
      </w:r>
      <w:r>
        <w:rPr>
          <w:rFonts w:hint="eastAsia" w:ascii="仿宋_GB2312" w:eastAsia="仿宋_GB2312"/>
          <w:sz w:val="28"/>
          <w:szCs w:val="28"/>
        </w:rPr>
        <w:t>支付方式数据表格</w:t>
      </w:r>
    </w:p>
    <w:tbl>
      <w:tblPr>
        <w:tblStyle w:val="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spacing w:line="240" w:lineRule="auto"/>
              <w:rPr>
                <w:rFonts w:hint="eastAsia" w:ascii="仿宋_GB2312" w:eastAsia="仿宋_GB2312"/>
                <w:sz w:val="28"/>
                <w:szCs w:val="28"/>
              </w:rPr>
            </w:pPr>
            <w:r>
              <w:rPr>
                <w:rFonts w:hint="eastAsia" w:ascii="仿宋_GB2312" w:eastAsia="仿宋_GB2312"/>
                <w:sz w:val="28"/>
                <w:szCs w:val="28"/>
              </w:rPr>
              <w:t>支付期次</w:t>
            </w:r>
          </w:p>
        </w:tc>
        <w:tc>
          <w:tcPr>
            <w:tcW w:w="1000" w:type="pct"/>
            <w:tcBorders>
              <w:top w:val="outset" w:color="auto" w:sz="6" w:space="0"/>
              <w:left w:val="outset" w:color="auto" w:sz="6" w:space="0"/>
              <w:bottom w:val="outset" w:color="auto" w:sz="6" w:space="0"/>
              <w:right w:val="outset" w:color="auto" w:sz="6" w:space="0"/>
            </w:tcBorders>
            <w:noWrap w:val="0"/>
            <w:vAlign w:val="center"/>
          </w:tcPr>
          <w:p>
            <w:pPr>
              <w:spacing w:line="240" w:lineRule="auto"/>
              <w:rPr>
                <w:rFonts w:hint="eastAsia" w:ascii="仿宋_GB2312" w:eastAsia="仿宋_GB2312"/>
                <w:sz w:val="28"/>
                <w:szCs w:val="28"/>
              </w:rPr>
            </w:pPr>
            <w:r>
              <w:rPr>
                <w:rFonts w:hint="eastAsia" w:ascii="仿宋_GB2312" w:eastAsia="仿宋_GB2312"/>
                <w:sz w:val="28"/>
                <w:szCs w:val="28"/>
              </w:rPr>
              <w:t>支付比例(%)</w:t>
            </w:r>
          </w:p>
        </w:tc>
        <w:tc>
          <w:tcPr>
            <w:tcW w:w="3000" w:type="pct"/>
            <w:tcBorders>
              <w:top w:val="outset" w:color="auto" w:sz="6" w:space="0"/>
              <w:left w:val="outset" w:color="auto" w:sz="6" w:space="0"/>
              <w:bottom w:val="outset" w:color="auto" w:sz="6" w:space="0"/>
              <w:right w:val="outset" w:color="auto" w:sz="6" w:space="0"/>
            </w:tcBorders>
            <w:noWrap w:val="0"/>
            <w:vAlign w:val="center"/>
          </w:tcPr>
          <w:p>
            <w:pPr>
              <w:spacing w:line="240" w:lineRule="auto"/>
              <w:rPr>
                <w:rFonts w:hint="eastAsia" w:ascii="仿宋_GB2312" w:eastAsia="仿宋_GB2312"/>
                <w:sz w:val="28"/>
                <w:szCs w:val="28"/>
              </w:rPr>
            </w:pPr>
            <w:r>
              <w:rPr>
                <w:rFonts w:hint="eastAsia" w:ascii="仿宋_GB2312" w:eastAsia="仿宋_GB2312"/>
                <w:sz w:val="28"/>
                <w:szCs w:val="28"/>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spacing w:line="240" w:lineRule="auto"/>
              <w:jc w:val="center"/>
              <w:rPr>
                <w:rFonts w:hint="eastAsia" w:ascii="仿宋_GB2312" w:eastAsia="仿宋_GB2312"/>
                <w:sz w:val="28"/>
                <w:szCs w:val="28"/>
              </w:rPr>
            </w:pPr>
            <w:r>
              <w:rPr>
                <w:rFonts w:hint="eastAsia" w:ascii="仿宋_GB2312" w:eastAsia="仿宋_GB2312"/>
                <w:sz w:val="28"/>
                <w:szCs w:val="28"/>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spacing w:line="240" w:lineRule="auto"/>
              <w:jc w:val="center"/>
              <w:rPr>
                <w:rFonts w:hint="eastAsia" w:ascii="仿宋_GB2312" w:eastAsia="仿宋_GB2312"/>
                <w:sz w:val="28"/>
                <w:szCs w:val="28"/>
              </w:rPr>
            </w:pPr>
            <w:r>
              <w:rPr>
                <w:rFonts w:hint="eastAsia" w:ascii="仿宋_GB2312" w:eastAsia="仿宋_GB2312"/>
                <w:sz w:val="28"/>
                <w:szCs w:val="28"/>
              </w:rPr>
              <w:t>50</w:t>
            </w:r>
          </w:p>
        </w:tc>
        <w:tc>
          <w:tcPr>
            <w:tcW w:w="0" w:type="auto"/>
            <w:tcBorders>
              <w:top w:val="outset" w:color="auto" w:sz="6" w:space="0"/>
              <w:left w:val="outset" w:color="auto" w:sz="6" w:space="0"/>
              <w:bottom w:val="outset" w:color="auto" w:sz="6" w:space="0"/>
              <w:right w:val="outset" w:color="auto" w:sz="6" w:space="0"/>
            </w:tcBorders>
            <w:noWrap w:val="0"/>
            <w:vAlign w:val="center"/>
          </w:tcPr>
          <w:p>
            <w:pPr>
              <w:spacing w:line="240" w:lineRule="auto"/>
              <w:rPr>
                <w:rFonts w:hint="eastAsia" w:ascii="仿宋_GB2312" w:eastAsia="仿宋_GB2312"/>
                <w:sz w:val="28"/>
                <w:szCs w:val="28"/>
              </w:rPr>
            </w:pPr>
            <w:r>
              <w:rPr>
                <w:rFonts w:hint="eastAsia" w:ascii="仿宋_GB2312" w:eastAsia="仿宋_GB2312"/>
                <w:sz w:val="28"/>
                <w:szCs w:val="28"/>
              </w:rPr>
              <w:t>每学期末中标方完成合同约定的所有内容，并且无质量及售后问题后一次性付清。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spacing w:line="240" w:lineRule="auto"/>
              <w:jc w:val="center"/>
              <w:rPr>
                <w:rFonts w:hint="eastAsia" w:ascii="仿宋_GB2312" w:eastAsia="仿宋_GB2312"/>
                <w:sz w:val="28"/>
                <w:szCs w:val="28"/>
              </w:rPr>
            </w:pPr>
            <w:r>
              <w:rPr>
                <w:rFonts w:hint="eastAsia" w:ascii="仿宋_GB2312" w:eastAsia="仿宋_GB2312"/>
                <w:sz w:val="28"/>
                <w:szCs w:val="28"/>
              </w:rPr>
              <w:t>2</w:t>
            </w:r>
          </w:p>
        </w:tc>
        <w:tc>
          <w:tcPr>
            <w:tcW w:w="0" w:type="auto"/>
            <w:tcBorders>
              <w:top w:val="outset" w:color="auto" w:sz="6" w:space="0"/>
              <w:left w:val="outset" w:color="auto" w:sz="6" w:space="0"/>
              <w:bottom w:val="outset" w:color="auto" w:sz="6" w:space="0"/>
              <w:right w:val="outset" w:color="auto" w:sz="6" w:space="0"/>
            </w:tcBorders>
            <w:noWrap w:val="0"/>
            <w:vAlign w:val="center"/>
          </w:tcPr>
          <w:p>
            <w:pPr>
              <w:spacing w:line="240" w:lineRule="auto"/>
              <w:jc w:val="center"/>
              <w:rPr>
                <w:rFonts w:hint="eastAsia" w:ascii="仿宋_GB2312" w:eastAsia="仿宋_GB2312"/>
                <w:sz w:val="28"/>
                <w:szCs w:val="28"/>
              </w:rPr>
            </w:pPr>
            <w:r>
              <w:rPr>
                <w:rFonts w:hint="eastAsia" w:ascii="仿宋_GB2312" w:eastAsia="仿宋_GB2312"/>
                <w:sz w:val="28"/>
                <w:szCs w:val="28"/>
              </w:rPr>
              <w:t>50</w:t>
            </w:r>
          </w:p>
        </w:tc>
        <w:tc>
          <w:tcPr>
            <w:tcW w:w="0" w:type="auto"/>
            <w:tcBorders>
              <w:top w:val="outset" w:color="auto" w:sz="6" w:space="0"/>
              <w:left w:val="outset" w:color="auto" w:sz="6" w:space="0"/>
              <w:bottom w:val="outset" w:color="auto" w:sz="6" w:space="0"/>
              <w:right w:val="outset" w:color="auto" w:sz="6" w:space="0"/>
            </w:tcBorders>
            <w:noWrap w:val="0"/>
            <w:vAlign w:val="center"/>
          </w:tcPr>
          <w:p>
            <w:pPr>
              <w:spacing w:line="240" w:lineRule="auto"/>
              <w:rPr>
                <w:rFonts w:hint="eastAsia" w:ascii="仿宋_GB2312" w:eastAsia="仿宋_GB2312"/>
                <w:sz w:val="28"/>
                <w:szCs w:val="28"/>
              </w:rPr>
            </w:pPr>
            <w:r>
              <w:rPr>
                <w:rFonts w:hint="eastAsia" w:ascii="仿宋_GB2312" w:eastAsia="仿宋_GB2312"/>
                <w:sz w:val="28"/>
                <w:szCs w:val="28"/>
              </w:rPr>
              <w:t>每学期末中标方完成合同约定的所有内容，并且无质量及售后问题后一次性付清。</w:t>
            </w:r>
          </w:p>
        </w:tc>
      </w:tr>
    </w:tbl>
    <w:p>
      <w:pPr>
        <w:spacing w:line="240" w:lineRule="auto"/>
        <w:rPr>
          <w:rFonts w:hint="eastAsia" w:ascii="仿宋_GB2312" w:eastAsia="仿宋_GB2312"/>
          <w:sz w:val="28"/>
          <w:szCs w:val="28"/>
        </w:rPr>
      </w:pPr>
      <w:r>
        <w:rPr>
          <w:rFonts w:hint="eastAsia" w:ascii="仿宋_GB2312" w:eastAsia="仿宋_GB2312"/>
          <w:sz w:val="28"/>
          <w:szCs w:val="28"/>
        </w:rPr>
        <w:t>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四、其他事项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1.报价要求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rPr>
        <w:t>本项目预算为1</w:t>
      </w:r>
      <w:r>
        <w:rPr>
          <w:rFonts w:hint="eastAsia" w:ascii="仿宋_GB2312" w:eastAsia="仿宋_GB2312"/>
          <w:sz w:val="28"/>
          <w:szCs w:val="28"/>
          <w:lang w:val="en-US" w:eastAsia="zh-CN"/>
        </w:rPr>
        <w:t>7</w:t>
      </w:r>
      <w:r>
        <w:rPr>
          <w:rFonts w:hint="eastAsia" w:ascii="仿宋_GB2312" w:eastAsia="仿宋_GB2312"/>
          <w:sz w:val="28"/>
          <w:szCs w:val="28"/>
        </w:rPr>
        <w:t>0万元。投标人须按照折率进行报价：实洋*数量=实际支付金额。具体按实结算。投标人须按照项目报折扣率</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2.售后服务：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（1）教材按采购人要求分类打包、标识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（2）所有教材免费运送、装卸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（3）提供完整、准确的教材发放和结算清单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对于印刷不清、缺页、脱页、劣装、污损、浸湿、变形等质量问题及入库时即污损的教材和多订、重订的教材应无条件进行及时调换或退货，调换时间不超过10个日历日，对于数量短缺的教材，投标人应及时补足。</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（5）对于采购人当季因当招生计划变更、学生报到不足等多余的教材，中标人应承诺给予退货（校本教材、采购人自愿保留的教材、学生使用过或涂写过或造成污损的教材除外）；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3.其它要求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（1）教育教学服务：投标人需配合校方做好教师的继续教育工作，提供相关案例；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（2）配套服务：承诺每学年为学校提供最新教材目录；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（3）特色服务：符合相关政策要求情况下根据采购人的实际情况设计并提供特色服务。</w:t>
      </w:r>
    </w:p>
    <w:p>
      <w:pPr>
        <w:spacing w:line="240" w:lineRule="auto"/>
        <w:rPr>
          <w:rFonts w:hint="eastAsia" w:ascii="仿宋_GB2312" w:eastAsia="仿宋_GB2312"/>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BE8"/>
    <w:rsid w:val="00002863"/>
    <w:rsid w:val="001303B3"/>
    <w:rsid w:val="00182D72"/>
    <w:rsid w:val="00196BE8"/>
    <w:rsid w:val="001A7922"/>
    <w:rsid w:val="002071FF"/>
    <w:rsid w:val="00210B04"/>
    <w:rsid w:val="00214AF6"/>
    <w:rsid w:val="002F6291"/>
    <w:rsid w:val="00401F59"/>
    <w:rsid w:val="00404588"/>
    <w:rsid w:val="004B6A76"/>
    <w:rsid w:val="004E3EF9"/>
    <w:rsid w:val="0051591A"/>
    <w:rsid w:val="005727AB"/>
    <w:rsid w:val="0065422B"/>
    <w:rsid w:val="006A05F9"/>
    <w:rsid w:val="006A6F08"/>
    <w:rsid w:val="006C3D71"/>
    <w:rsid w:val="00704A93"/>
    <w:rsid w:val="00717C64"/>
    <w:rsid w:val="00790102"/>
    <w:rsid w:val="007E0032"/>
    <w:rsid w:val="007E6794"/>
    <w:rsid w:val="00867175"/>
    <w:rsid w:val="00890031"/>
    <w:rsid w:val="00985CB2"/>
    <w:rsid w:val="009E3ADE"/>
    <w:rsid w:val="00A6302E"/>
    <w:rsid w:val="00AE572E"/>
    <w:rsid w:val="00B1053D"/>
    <w:rsid w:val="00BB3045"/>
    <w:rsid w:val="00BB7123"/>
    <w:rsid w:val="00BF21B0"/>
    <w:rsid w:val="00CC1898"/>
    <w:rsid w:val="00D25D10"/>
    <w:rsid w:val="00D448E7"/>
    <w:rsid w:val="00E9488E"/>
    <w:rsid w:val="00F07335"/>
    <w:rsid w:val="00F866A5"/>
    <w:rsid w:val="00F9765D"/>
    <w:rsid w:val="00FB07FE"/>
    <w:rsid w:val="00FB0F59"/>
    <w:rsid w:val="0E374967"/>
    <w:rsid w:val="1EC92300"/>
    <w:rsid w:val="2C243A90"/>
    <w:rsid w:val="3B765A93"/>
    <w:rsid w:val="46884A8D"/>
    <w:rsid w:val="4E1469AF"/>
    <w:rsid w:val="72EF3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none" w:color="auto" w:sz="0" w:space="1"/>
        <w:left w:val="none" w:color="auto" w:sz="0" w:space="1"/>
        <w:bottom w:val="none" w:color="auto" w:sz="0" w:space="1"/>
        <w:right w:val="none" w:color="auto" w:sz="0" w:space="1"/>
      </w:pBdr>
      <w:shd w:val="clear" w:color="auto" w:fill="FFFFFF"/>
      <w:ind w:left="1080" w:leftChars="500" w:hanging="1080" w:hangingChars="500"/>
    </w:pPr>
    <w:rPr>
      <w:rFonts w:ascii="Cambria" w:hAnsi="Cambria" w:eastAsia="宋体"/>
      <w:sz w:val="24"/>
    </w:rPr>
  </w:style>
  <w:style w:type="paragraph" w:styleId="3">
    <w:name w:val="Date"/>
    <w:basedOn w:val="1"/>
    <w:next w:val="1"/>
    <w:link w:val="15"/>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rPr>
      <w:szCs w:val="22"/>
    </w:rPr>
  </w:style>
  <w:style w:type="paragraph" w:customStyle="1" w:styleId="9">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10">
    <w:name w:val="_Style 2"/>
    <w:basedOn w:val="1"/>
    <w:qFormat/>
    <w:uiPriority w:val="0"/>
    <w:pPr>
      <w:ind w:firstLine="420" w:firstLineChars="200"/>
    </w:pPr>
    <w:rPr>
      <w:szCs w:val="22"/>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页脚 Char"/>
    <w:basedOn w:val="7"/>
    <w:link w:val="4"/>
    <w:qFormat/>
    <w:uiPriority w:val="99"/>
    <w:rPr>
      <w:rFonts w:ascii="Times New Roman" w:hAnsi="Times New Roman" w:eastAsia="宋体" w:cs="Times New Roman"/>
      <w:sz w:val="18"/>
      <w:szCs w:val="18"/>
    </w:rPr>
  </w:style>
  <w:style w:type="paragraph" w:customStyle="1" w:styleId="13">
    <w:name w:val="Char2"/>
    <w:basedOn w:val="1"/>
    <w:qFormat/>
    <w:uiPriority w:val="0"/>
    <w:rPr>
      <w:szCs w:val="20"/>
    </w:rPr>
  </w:style>
  <w:style w:type="paragraph" w:customStyle="1" w:styleId="14">
    <w:name w:val="列出段落1"/>
    <w:basedOn w:val="1"/>
    <w:qFormat/>
    <w:uiPriority w:val="99"/>
    <w:pPr>
      <w:ind w:firstLine="420" w:firstLineChars="200"/>
    </w:pPr>
    <w:rPr>
      <w:szCs w:val="20"/>
    </w:rPr>
  </w:style>
  <w:style w:type="character" w:customStyle="1" w:styleId="15">
    <w:name w:val="日期 Char"/>
    <w:basedOn w:val="7"/>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840</Words>
  <Characters>4793</Characters>
  <Lines>39</Lines>
  <Paragraphs>11</Paragraphs>
  <TotalTime>3</TotalTime>
  <ScaleCrop>false</ScaleCrop>
  <LinksUpToDate>false</LinksUpToDate>
  <CharactersWithSpaces>5622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2019-06-03T12:00:00Z</dcterms:created>
  <dc:creator>卢照雄</dc:creator>
  <cp:lastModifiedBy>流水生华</cp:lastModifiedBy>
  <cp:lastPrinted>2019-09-23T02:44:00Z</cp:lastPrinted>
  <dcterms:modified xsi:type="dcterms:W3CDTF">2023-06-05T07:22:04Z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