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t>教育部办公厅关于印发《中等职业学校</w:t>
      </w:r>
      <w:r>
        <w:br w:type="textWrapping"/>
      </w:r>
      <w:r>
        <w:t>公共基础课程方案》的通知</w:t>
      </w:r>
    </w:p>
    <w:p>
      <w:pPr>
        <w:pStyle w:val="3"/>
        <w:keepNext w:val="0"/>
        <w:keepLines w:val="0"/>
        <w:widowControl/>
        <w:suppressLineNumbers w:val="0"/>
        <w:jc w:val="right"/>
      </w:pPr>
      <w:r>
        <w:t>教职成厅〔2019〕6号</w:t>
      </w:r>
    </w:p>
    <w:p>
      <w:pPr>
        <w:pStyle w:val="3"/>
        <w:keepNext w:val="0"/>
        <w:keepLines w:val="0"/>
        <w:widowControl/>
        <w:suppressLineNumbers w:val="0"/>
        <w:rPr>
          <w:sz w:val="30"/>
          <w:szCs w:val="30"/>
        </w:rPr>
      </w:pPr>
      <w:r>
        <w:rPr>
          <w:sz w:val="30"/>
          <w:szCs w:val="30"/>
        </w:rPr>
        <w:t>各省、自治区、直辖市教育厅（教委），各计划单列市教育局，新疆生产建设兵团教育局：</w:t>
      </w:r>
    </w:p>
    <w:p>
      <w:pPr>
        <w:pStyle w:val="3"/>
        <w:keepNext w:val="0"/>
        <w:keepLines w:val="0"/>
        <w:widowControl/>
        <w:suppressLineNumbers w:val="0"/>
        <w:rPr>
          <w:sz w:val="30"/>
          <w:szCs w:val="30"/>
        </w:rPr>
      </w:pPr>
      <w:r>
        <w:rPr>
          <w:sz w:val="30"/>
          <w:szCs w:val="30"/>
        </w:rPr>
        <w:t>　　为贯彻全国教育大会精神，落实《国家职业教育改革实施方案》，深化中等职业学校公共基础课程改革，培养德智体美劳全面发展的高素质劳动者和技术技能人才，特制定《中等职业学校公共基础课程方案》，现印发给你们。各地要指导区域内中等职业学校认真贯彻实施，开齐开足开好公共基础课程，深化教师、教材、教法改革，不断提升人才培养质量。</w:t>
      </w:r>
    </w:p>
    <w:p>
      <w:pPr>
        <w:pStyle w:val="3"/>
        <w:keepNext w:val="0"/>
        <w:keepLines w:val="0"/>
        <w:widowControl/>
        <w:suppressLineNumbers w:val="0"/>
        <w:jc w:val="right"/>
        <w:rPr>
          <w:sz w:val="30"/>
          <w:szCs w:val="30"/>
        </w:rPr>
      </w:pPr>
      <w:r>
        <w:rPr>
          <w:sz w:val="30"/>
          <w:szCs w:val="30"/>
        </w:rPr>
        <w:t>教育部办公厅</w:t>
      </w:r>
    </w:p>
    <w:p>
      <w:pPr>
        <w:pStyle w:val="3"/>
        <w:keepNext w:val="0"/>
        <w:keepLines w:val="0"/>
        <w:widowControl/>
        <w:suppressLineNumbers w:val="0"/>
        <w:jc w:val="right"/>
        <w:rPr>
          <w:sz w:val="30"/>
          <w:szCs w:val="30"/>
        </w:rPr>
      </w:pPr>
      <w:r>
        <w:rPr>
          <w:sz w:val="30"/>
          <w:szCs w:val="30"/>
        </w:rPr>
        <w:t>2019年10月22日</w:t>
      </w:r>
    </w:p>
    <w:p>
      <w:pPr>
        <w:pStyle w:val="3"/>
        <w:keepNext w:val="0"/>
        <w:keepLines w:val="0"/>
        <w:widowControl/>
        <w:suppressLineNumbers w:val="0"/>
        <w:jc w:val="center"/>
        <w:rPr>
          <w:b/>
          <w:sz w:val="30"/>
          <w:szCs w:val="30"/>
        </w:rPr>
      </w:pPr>
    </w:p>
    <w:p>
      <w:pPr>
        <w:pStyle w:val="3"/>
        <w:keepNext w:val="0"/>
        <w:keepLines w:val="0"/>
        <w:widowControl/>
        <w:suppressLineNumbers w:val="0"/>
        <w:jc w:val="center"/>
        <w:rPr>
          <w:b/>
          <w:sz w:val="30"/>
          <w:szCs w:val="30"/>
        </w:rPr>
      </w:pPr>
    </w:p>
    <w:p>
      <w:pPr>
        <w:pStyle w:val="3"/>
        <w:keepNext w:val="0"/>
        <w:keepLines w:val="0"/>
        <w:widowControl/>
        <w:suppressLineNumbers w:val="0"/>
        <w:jc w:val="center"/>
        <w:rPr>
          <w:b/>
          <w:sz w:val="30"/>
          <w:szCs w:val="30"/>
        </w:rPr>
      </w:pPr>
    </w:p>
    <w:p>
      <w:pPr>
        <w:pStyle w:val="3"/>
        <w:keepNext w:val="0"/>
        <w:keepLines w:val="0"/>
        <w:widowControl/>
        <w:suppressLineNumbers w:val="0"/>
        <w:jc w:val="center"/>
        <w:rPr>
          <w:b/>
          <w:sz w:val="30"/>
          <w:szCs w:val="30"/>
        </w:rPr>
      </w:pPr>
    </w:p>
    <w:p>
      <w:pPr>
        <w:pStyle w:val="3"/>
        <w:keepNext w:val="0"/>
        <w:keepLines w:val="0"/>
        <w:widowControl/>
        <w:suppressLineNumbers w:val="0"/>
        <w:jc w:val="center"/>
        <w:rPr>
          <w:b/>
          <w:sz w:val="30"/>
          <w:szCs w:val="30"/>
        </w:rPr>
      </w:pPr>
    </w:p>
    <w:p>
      <w:pPr>
        <w:pStyle w:val="3"/>
        <w:keepNext w:val="0"/>
        <w:keepLines w:val="0"/>
        <w:widowControl/>
        <w:suppressLineNumbers w:val="0"/>
        <w:jc w:val="center"/>
        <w:rPr>
          <w:sz w:val="30"/>
          <w:szCs w:val="30"/>
        </w:rPr>
      </w:pPr>
      <w:bookmarkStart w:id="0" w:name="_GoBack"/>
      <w:bookmarkEnd w:id="0"/>
      <w:r>
        <w:rPr>
          <w:b/>
          <w:sz w:val="30"/>
          <w:szCs w:val="30"/>
        </w:rPr>
        <w:t>中等职业学校公共基础课程方案</w:t>
      </w:r>
    </w:p>
    <w:p>
      <w:pPr>
        <w:pStyle w:val="3"/>
        <w:keepNext w:val="0"/>
        <w:keepLines w:val="0"/>
        <w:widowControl/>
        <w:suppressLineNumbers w:val="0"/>
        <w:rPr>
          <w:sz w:val="30"/>
          <w:szCs w:val="30"/>
        </w:rPr>
      </w:pPr>
      <w:r>
        <w:rPr>
          <w:sz w:val="30"/>
          <w:szCs w:val="30"/>
        </w:rPr>
        <w:t>　　公共基础课程是中等职业学校课程体系的重要组成部分，是培养学生思想政治素质、科学文化素养等的基本途径，对于促进学生可持续发展具有重要意义。为贯彻全国教育大会精神，落实《国家职业教育改革实施方案》，深化中等职业学校公共基础课程改革，培养德智体美劳全面发展的高素质劳动者和技术技能人才，特制定本方案。</w:t>
      </w:r>
    </w:p>
    <w:p>
      <w:pPr>
        <w:pStyle w:val="3"/>
        <w:keepNext w:val="0"/>
        <w:keepLines w:val="0"/>
        <w:widowControl/>
        <w:suppressLineNumbers w:val="0"/>
        <w:rPr>
          <w:sz w:val="30"/>
          <w:szCs w:val="30"/>
        </w:rPr>
      </w:pPr>
      <w:r>
        <w:rPr>
          <w:sz w:val="30"/>
          <w:szCs w:val="30"/>
        </w:rPr>
        <w:t>　　</w:t>
      </w:r>
      <w:r>
        <w:rPr>
          <w:b/>
          <w:sz w:val="30"/>
          <w:szCs w:val="30"/>
        </w:rPr>
        <w:t>一、适用范围</w:t>
      </w:r>
    </w:p>
    <w:p>
      <w:pPr>
        <w:pStyle w:val="3"/>
        <w:keepNext w:val="0"/>
        <w:keepLines w:val="0"/>
        <w:widowControl/>
        <w:suppressLineNumbers w:val="0"/>
        <w:rPr>
          <w:sz w:val="30"/>
          <w:szCs w:val="30"/>
        </w:rPr>
      </w:pPr>
      <w:r>
        <w:rPr>
          <w:sz w:val="30"/>
          <w:szCs w:val="30"/>
        </w:rPr>
        <w:t>　　本方案适用于中等职业学校三年制各专业的公共基础课程设置，其他学制参照执行。</w:t>
      </w:r>
    </w:p>
    <w:p>
      <w:pPr>
        <w:pStyle w:val="3"/>
        <w:keepNext w:val="0"/>
        <w:keepLines w:val="0"/>
        <w:widowControl/>
        <w:suppressLineNumbers w:val="0"/>
        <w:rPr>
          <w:sz w:val="30"/>
          <w:szCs w:val="30"/>
        </w:rPr>
      </w:pPr>
      <w:r>
        <w:rPr>
          <w:sz w:val="30"/>
          <w:szCs w:val="30"/>
        </w:rPr>
        <w:t>　　</w:t>
      </w:r>
      <w:r>
        <w:rPr>
          <w:b/>
          <w:sz w:val="30"/>
          <w:szCs w:val="30"/>
        </w:rPr>
        <w:t>二、课程设置</w:t>
      </w:r>
    </w:p>
    <w:p>
      <w:pPr>
        <w:pStyle w:val="3"/>
        <w:keepNext w:val="0"/>
        <w:keepLines w:val="0"/>
        <w:widowControl/>
        <w:suppressLineNumbers w:val="0"/>
        <w:rPr>
          <w:sz w:val="30"/>
          <w:szCs w:val="30"/>
        </w:rPr>
      </w:pPr>
      <w:r>
        <w:rPr>
          <w:sz w:val="30"/>
          <w:szCs w:val="30"/>
        </w:rPr>
        <w:t>　　（一）课程类别</w:t>
      </w:r>
    </w:p>
    <w:p>
      <w:pPr>
        <w:pStyle w:val="3"/>
        <w:keepNext w:val="0"/>
        <w:keepLines w:val="0"/>
        <w:widowControl/>
        <w:suppressLineNumbers w:val="0"/>
        <w:rPr>
          <w:sz w:val="30"/>
          <w:szCs w:val="30"/>
        </w:rPr>
      </w:pPr>
      <w:r>
        <w:rPr>
          <w:sz w:val="30"/>
          <w:szCs w:val="30"/>
        </w:rPr>
        <w:t>　　中等职业学校公共基础课程分为必修课程、限定选修课程和任意选修课程。</w:t>
      </w:r>
    </w:p>
    <w:p>
      <w:pPr>
        <w:pStyle w:val="3"/>
        <w:keepNext w:val="0"/>
        <w:keepLines w:val="0"/>
        <w:widowControl/>
        <w:suppressLineNumbers w:val="0"/>
        <w:rPr>
          <w:sz w:val="30"/>
          <w:szCs w:val="30"/>
        </w:rPr>
      </w:pPr>
      <w:r>
        <w:rPr>
          <w:sz w:val="30"/>
          <w:szCs w:val="30"/>
        </w:rPr>
        <w:t>　　必修课程，由国家根据学生全面发展的需要设置，所有学生必须全部修习。包括思想政治、语文、历史、数学、外语、信息技术、体育与健康、艺术，物理、化学为相关专业的必修课程。</w:t>
      </w:r>
    </w:p>
    <w:p>
      <w:pPr>
        <w:pStyle w:val="3"/>
        <w:keepNext w:val="0"/>
        <w:keepLines w:val="0"/>
        <w:widowControl/>
        <w:suppressLineNumbers w:val="0"/>
        <w:rPr>
          <w:sz w:val="30"/>
          <w:szCs w:val="30"/>
        </w:rPr>
      </w:pPr>
      <w:r>
        <w:rPr>
          <w:sz w:val="30"/>
          <w:szCs w:val="30"/>
        </w:rPr>
        <w:t>　　限定选修课程，由国家根据学生职业发展的需要安排内容，各学校根据专业人才培养需要选择具体课程、安排教学，所有学生必须修满规定学分。包括中华优秀传统文化、劳动教育、职业素养等相关课程。</w:t>
      </w:r>
    </w:p>
    <w:p>
      <w:pPr>
        <w:pStyle w:val="3"/>
        <w:keepNext w:val="0"/>
        <w:keepLines w:val="0"/>
        <w:widowControl/>
        <w:suppressLineNumbers w:val="0"/>
        <w:rPr>
          <w:sz w:val="30"/>
          <w:szCs w:val="30"/>
        </w:rPr>
      </w:pPr>
      <w:r>
        <w:rPr>
          <w:sz w:val="30"/>
          <w:szCs w:val="30"/>
        </w:rPr>
        <w:t>　　任意选修课程包括两部分，一部分由国家根据学生继续学习和个性化发展的需要安排内容，另一部分由各学校根据自身办学条件、办学特色、学生多样化需求以及当地经济社会发展的需要设置。包括各种校本课程等。</w:t>
      </w:r>
    </w:p>
    <w:p>
      <w:pPr>
        <w:pStyle w:val="3"/>
        <w:keepNext w:val="0"/>
        <w:keepLines w:val="0"/>
        <w:widowControl/>
        <w:suppressLineNumbers w:val="0"/>
        <w:rPr>
          <w:sz w:val="30"/>
          <w:szCs w:val="30"/>
        </w:rPr>
      </w:pPr>
      <w:r>
        <w:rPr>
          <w:sz w:val="30"/>
          <w:szCs w:val="30"/>
        </w:rPr>
        <w:t>　　（二）学时</w:t>
      </w:r>
    </w:p>
    <w:p>
      <w:pPr>
        <w:pStyle w:val="3"/>
        <w:keepNext w:val="0"/>
        <w:keepLines w:val="0"/>
        <w:widowControl/>
        <w:suppressLineNumbers w:val="0"/>
        <w:rPr>
          <w:sz w:val="30"/>
          <w:szCs w:val="30"/>
        </w:rPr>
      </w:pPr>
      <w:r>
        <w:rPr>
          <w:sz w:val="30"/>
          <w:szCs w:val="30"/>
        </w:rPr>
        <w:t>　　中等职业学校公共基础课程的学时一般占总学时的1/3，不低于1000学时。原则上每学时按45分钟计，18学时为1学分。各学校可根据专业人才培养需要在规定的范围内适当调整，但须保证学生修满规定学分。</w:t>
      </w:r>
    </w:p>
    <w:p>
      <w:pPr>
        <w:pStyle w:val="3"/>
        <w:keepNext w:val="0"/>
        <w:keepLines w:val="0"/>
        <w:widowControl/>
        <w:suppressLineNumbers w:val="0"/>
        <w:rPr>
          <w:sz w:val="30"/>
          <w:szCs w:val="30"/>
        </w:rPr>
      </w:pPr>
      <w:r>
        <w:rPr>
          <w:sz w:val="30"/>
          <w:szCs w:val="30"/>
        </w:rPr>
        <w:t>　　（三）课程结构与学分</w:t>
      </w:r>
    </w:p>
    <w:p>
      <w:pPr>
        <w:pStyle w:val="3"/>
        <w:keepNext w:val="0"/>
        <w:keepLines w:val="0"/>
        <w:widowControl/>
        <w:suppressLineNumbers w:val="0"/>
        <w:rPr>
          <w:sz w:val="30"/>
          <w:szCs w:val="30"/>
        </w:rPr>
      </w:pPr>
      <w:r>
        <w:rPr>
          <w:sz w:val="30"/>
          <w:szCs w:val="30"/>
        </w:rPr>
        <w:t>　　公共基础课程内容一般由基础模块、职业模块和拓展模块构成。它们既相对独立，又相互关联。基础模块是各专业学生必修的基础性内容。职业模块是提高学生职业素养的限定性选修内容。拓展模块是满足学生继续学习与个性发展等方面需要的限定性或任意选修内容。各专业学生须修完必修内容和限定性选修内容，修满规定学分。</w:t>
      </w:r>
    </w:p>
    <w:p>
      <w:pPr>
        <w:pStyle w:val="3"/>
        <w:keepNext w:val="0"/>
        <w:keepLines w:val="0"/>
        <w:widowControl/>
        <w:suppressLineNumbers w:val="0"/>
        <w:rPr>
          <w:sz w:val="30"/>
          <w:szCs w:val="30"/>
        </w:rPr>
      </w:pPr>
      <w:r>
        <w:rPr>
          <w:sz w:val="30"/>
          <w:szCs w:val="30"/>
        </w:rPr>
        <w:t>　　各地与各学校可根据专业人才培养方案，结合地方资源、学校特色、教师特长以及学生实际等，自主开发拓展模块中的任意选修内容。其教学时间根据实际需要设定，一般为18学时的倍数。有关必修课程、限定选修课程设置及学分（模块）安排如下：</w:t>
      </w:r>
    </w:p>
    <w:p>
      <w:pPr>
        <w:keepNext w:val="0"/>
        <w:keepLines w:val="0"/>
        <w:widowControl/>
        <w:suppressLineNumbers w:val="0"/>
        <w:jc w:val="center"/>
        <w:rPr>
          <w:sz w:val="30"/>
          <w:szCs w:val="3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945"/>
        <w:gridCol w:w="1707"/>
        <w:gridCol w:w="2858"/>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17" w:hRule="atLeast"/>
          <w:jc w:val="center"/>
        </w:trPr>
        <w:tc>
          <w:tcPr>
            <w:tcW w:w="1141"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ascii="黑体" w:hAnsi="宋体" w:eastAsia="黑体" w:cs="黑体"/>
                <w:kern w:val="0"/>
                <w:sz w:val="30"/>
                <w:szCs w:val="30"/>
                <w:bdr w:val="none" w:color="auto" w:sz="0" w:space="0"/>
                <w:lang w:val="en-US" w:eastAsia="zh-CN" w:bidi="ar"/>
              </w:rPr>
              <w:t>课程名称</w:t>
            </w:r>
          </w:p>
        </w:tc>
        <w:tc>
          <w:tcPr>
            <w:tcW w:w="1001"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napToGrid w:val="0"/>
              <w:spacing w:before="0" w:beforeAutospacing="1" w:after="0" w:afterAutospacing="1"/>
              <w:ind w:left="0" w:right="0"/>
              <w:jc w:val="center"/>
              <w:rPr>
                <w:sz w:val="30"/>
                <w:szCs w:val="30"/>
              </w:rPr>
            </w:pPr>
            <w:r>
              <w:rPr>
                <w:rFonts w:hint="eastAsia" w:ascii="黑体" w:hAnsi="宋体" w:eastAsia="黑体" w:cs="黑体"/>
                <w:kern w:val="0"/>
                <w:sz w:val="30"/>
                <w:szCs w:val="30"/>
                <w:bdr w:val="none" w:color="auto" w:sz="0" w:space="0"/>
                <w:lang w:val="en-US" w:eastAsia="zh-CN" w:bidi="ar"/>
              </w:rPr>
              <w:t>必修学分</w:t>
            </w:r>
          </w:p>
          <w:p>
            <w:pPr>
              <w:keepNext w:val="0"/>
              <w:keepLines w:val="0"/>
              <w:widowControl/>
              <w:suppressLineNumbers w:val="0"/>
              <w:overflowPunct w:val="0"/>
              <w:snapToGrid w:val="0"/>
              <w:spacing w:before="0" w:beforeAutospacing="1" w:after="0" w:afterAutospacing="1"/>
              <w:ind w:left="0" w:right="0"/>
              <w:jc w:val="center"/>
              <w:rPr>
                <w:sz w:val="30"/>
                <w:szCs w:val="30"/>
              </w:rPr>
            </w:pPr>
            <w:r>
              <w:rPr>
                <w:rFonts w:hint="eastAsia" w:ascii="黑体" w:hAnsi="宋体" w:eastAsia="黑体" w:cs="黑体"/>
                <w:kern w:val="0"/>
                <w:sz w:val="30"/>
                <w:szCs w:val="30"/>
                <w:bdr w:val="none" w:color="auto" w:sz="0" w:space="0"/>
                <w:lang w:val="en-US" w:eastAsia="zh-CN" w:bidi="ar"/>
              </w:rPr>
              <w:t>（基础模块）</w:t>
            </w:r>
          </w:p>
        </w:tc>
        <w:tc>
          <w:tcPr>
            <w:tcW w:w="1676"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napToGrid w:val="0"/>
              <w:spacing w:before="0" w:beforeAutospacing="1" w:after="0" w:afterAutospacing="1"/>
              <w:ind w:left="0" w:right="0"/>
              <w:jc w:val="center"/>
              <w:rPr>
                <w:sz w:val="30"/>
                <w:szCs w:val="30"/>
              </w:rPr>
            </w:pPr>
            <w:r>
              <w:rPr>
                <w:rFonts w:hint="eastAsia" w:ascii="黑体" w:hAnsi="宋体" w:eastAsia="黑体" w:cs="黑体"/>
                <w:kern w:val="0"/>
                <w:sz w:val="30"/>
                <w:szCs w:val="30"/>
                <w:bdr w:val="none" w:color="auto" w:sz="0" w:space="0"/>
                <w:lang w:val="en-US" w:eastAsia="zh-CN" w:bidi="ar"/>
              </w:rPr>
              <w:t>限定选修学分</w:t>
            </w:r>
          </w:p>
          <w:p>
            <w:pPr>
              <w:keepNext w:val="0"/>
              <w:keepLines w:val="0"/>
              <w:widowControl/>
              <w:suppressLineNumbers w:val="0"/>
              <w:overflowPunct w:val="0"/>
              <w:snapToGrid w:val="0"/>
              <w:spacing w:before="0" w:beforeAutospacing="1" w:after="0" w:afterAutospacing="1"/>
              <w:ind w:left="0" w:right="0"/>
              <w:jc w:val="center"/>
              <w:rPr>
                <w:sz w:val="30"/>
                <w:szCs w:val="30"/>
              </w:rPr>
            </w:pPr>
            <w:r>
              <w:rPr>
                <w:rFonts w:hint="eastAsia" w:ascii="黑体" w:hAnsi="宋体" w:eastAsia="黑体" w:cs="黑体"/>
                <w:kern w:val="0"/>
                <w:sz w:val="30"/>
                <w:szCs w:val="30"/>
                <w:bdr w:val="none" w:color="auto" w:sz="0" w:space="0"/>
                <w:lang w:val="en-US" w:eastAsia="zh-CN" w:bidi="ar"/>
              </w:rPr>
              <w:t>（职业模块或拓展模块）</w:t>
            </w:r>
          </w:p>
        </w:tc>
        <w:tc>
          <w:tcPr>
            <w:tcW w:w="1180"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napToGrid w:val="0"/>
              <w:spacing w:before="0" w:beforeAutospacing="1" w:after="0" w:afterAutospacing="1"/>
              <w:ind w:left="0" w:right="0"/>
              <w:jc w:val="center"/>
              <w:rPr>
                <w:sz w:val="30"/>
                <w:szCs w:val="30"/>
              </w:rPr>
            </w:pPr>
            <w:r>
              <w:rPr>
                <w:rFonts w:hint="eastAsia" w:ascii="黑体" w:hAnsi="宋体" w:eastAsia="黑体" w:cs="黑体"/>
                <w:kern w:val="0"/>
                <w:sz w:val="30"/>
                <w:szCs w:val="30"/>
                <w:bdr w:val="none" w:color="auto" w:sz="0" w:space="0"/>
                <w:lang w:val="en-US" w:eastAsia="zh-CN" w:bidi="ar"/>
              </w:rPr>
              <w:t>任意选修学分</w:t>
            </w:r>
          </w:p>
          <w:p>
            <w:pPr>
              <w:keepNext w:val="0"/>
              <w:keepLines w:val="0"/>
              <w:widowControl/>
              <w:suppressLineNumbers w:val="0"/>
              <w:overflowPunct w:val="0"/>
              <w:snapToGrid w:val="0"/>
              <w:spacing w:before="0" w:beforeAutospacing="1" w:after="0" w:afterAutospacing="1"/>
              <w:ind w:left="0" w:right="0"/>
              <w:jc w:val="center"/>
              <w:rPr>
                <w:sz w:val="30"/>
                <w:szCs w:val="30"/>
              </w:rPr>
            </w:pPr>
            <w:r>
              <w:rPr>
                <w:rFonts w:hint="eastAsia" w:ascii="黑体" w:hAnsi="宋体" w:eastAsia="黑体" w:cs="黑体"/>
                <w:kern w:val="0"/>
                <w:sz w:val="30"/>
                <w:szCs w:val="30"/>
                <w:bdr w:val="none" w:color="auto" w:sz="0" w:space="0"/>
                <w:lang w:val="en-US" w:eastAsia="zh-CN" w:bidi="ar"/>
              </w:rPr>
              <w:t>（拓展模块）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asciiTheme="minorHAnsi" w:hAnsiTheme="minorHAnsi" w:eastAsiaTheme="minorEastAsia" w:cstheme="minorBidi"/>
                <w:kern w:val="0"/>
                <w:sz w:val="30"/>
                <w:szCs w:val="30"/>
                <w:bdr w:val="none" w:color="auto" w:sz="0" w:space="0"/>
                <w:lang w:val="en-US" w:eastAsia="zh-CN" w:bidi="ar"/>
              </w:rPr>
              <w:t>思想政治</w:t>
            </w:r>
          </w:p>
        </w:tc>
        <w:tc>
          <w:tcPr>
            <w:tcW w:w="1001"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8</w:t>
            </w:r>
          </w:p>
        </w:tc>
        <w:tc>
          <w:tcPr>
            <w:tcW w:w="1676"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 </w:t>
            </w:r>
          </w:p>
        </w:tc>
        <w:tc>
          <w:tcPr>
            <w:tcW w:w="1180"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asciiTheme="minorHAnsi" w:hAnsiTheme="minorHAnsi" w:eastAsiaTheme="minorEastAsia" w:cstheme="minorBidi"/>
                <w:kern w:val="0"/>
                <w:sz w:val="30"/>
                <w:szCs w:val="30"/>
                <w:bdr w:val="none" w:color="auto" w:sz="0" w:space="0"/>
                <w:lang w:val="en-US" w:eastAsia="zh-CN" w:bidi="ar"/>
              </w:rPr>
              <w:t>语文</w:t>
            </w:r>
          </w:p>
        </w:tc>
        <w:tc>
          <w:tcPr>
            <w:tcW w:w="1001"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8</w:t>
            </w:r>
          </w:p>
        </w:tc>
        <w:tc>
          <w:tcPr>
            <w:tcW w:w="1676"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3</w:t>
            </w:r>
          </w:p>
        </w:tc>
        <w:tc>
          <w:tcPr>
            <w:tcW w:w="1180"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asciiTheme="minorHAnsi" w:hAnsiTheme="minorHAnsi" w:eastAsiaTheme="minorEastAsia" w:cstheme="minorBidi"/>
                <w:kern w:val="0"/>
                <w:sz w:val="30"/>
                <w:szCs w:val="30"/>
                <w:bdr w:val="none" w:color="auto" w:sz="0" w:space="0"/>
                <w:lang w:val="en-US" w:eastAsia="zh-CN" w:bidi="ar"/>
              </w:rPr>
              <w:t>历史</w:t>
            </w:r>
          </w:p>
        </w:tc>
        <w:tc>
          <w:tcPr>
            <w:tcW w:w="1001"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4</w:t>
            </w:r>
          </w:p>
        </w:tc>
        <w:tc>
          <w:tcPr>
            <w:tcW w:w="1676"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 </w:t>
            </w:r>
          </w:p>
        </w:tc>
        <w:tc>
          <w:tcPr>
            <w:tcW w:w="1180"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asciiTheme="minorHAnsi" w:hAnsiTheme="minorHAnsi" w:eastAsiaTheme="minorEastAsia" w:cstheme="minorBidi"/>
                <w:kern w:val="0"/>
                <w:sz w:val="30"/>
                <w:szCs w:val="30"/>
                <w:bdr w:val="none" w:color="auto" w:sz="0" w:space="0"/>
                <w:lang w:val="en-US" w:eastAsia="zh-CN" w:bidi="ar"/>
              </w:rPr>
              <w:t>数学</w:t>
            </w:r>
          </w:p>
        </w:tc>
        <w:tc>
          <w:tcPr>
            <w:tcW w:w="1001"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6</w:t>
            </w:r>
          </w:p>
        </w:tc>
        <w:tc>
          <w:tcPr>
            <w:tcW w:w="1676"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2</w:t>
            </w:r>
          </w:p>
        </w:tc>
        <w:tc>
          <w:tcPr>
            <w:tcW w:w="1180"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hint="default" w:ascii="方正仿宋简体" w:hAnsi="方正仿宋简体" w:eastAsia="方正仿宋简体" w:cs="方正仿宋简体"/>
                <w:kern w:val="0"/>
                <w:sz w:val="30"/>
                <w:szCs w:val="30"/>
                <w:bdr w:val="none" w:color="auto" w:sz="0" w:space="0"/>
                <w:lang w:val="en-US" w:eastAsia="zh-CN" w:bidi="ar"/>
              </w:rPr>
              <w:t>外</w:t>
            </w:r>
            <w:r>
              <w:rPr>
                <w:rFonts w:asciiTheme="minorHAnsi" w:hAnsiTheme="minorHAnsi" w:eastAsiaTheme="minorEastAsia" w:cstheme="minorBidi"/>
                <w:kern w:val="0"/>
                <w:sz w:val="30"/>
                <w:szCs w:val="30"/>
                <w:bdr w:val="none" w:color="auto" w:sz="0" w:space="0"/>
                <w:lang w:val="en-US" w:eastAsia="zh-CN" w:bidi="ar"/>
              </w:rPr>
              <w:t>语</w:t>
            </w:r>
          </w:p>
        </w:tc>
        <w:tc>
          <w:tcPr>
            <w:tcW w:w="1001"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6</w:t>
            </w:r>
          </w:p>
        </w:tc>
        <w:tc>
          <w:tcPr>
            <w:tcW w:w="1676"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2</w:t>
            </w:r>
          </w:p>
        </w:tc>
        <w:tc>
          <w:tcPr>
            <w:tcW w:w="1180"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asciiTheme="minorHAnsi" w:hAnsiTheme="minorHAnsi" w:eastAsiaTheme="minorEastAsia" w:cstheme="minorBidi"/>
                <w:kern w:val="0"/>
                <w:sz w:val="30"/>
                <w:szCs w:val="30"/>
                <w:bdr w:val="none" w:color="auto" w:sz="0" w:space="0"/>
                <w:lang w:val="en-US" w:eastAsia="zh-CN" w:bidi="ar"/>
              </w:rPr>
              <w:t>信息技术</w:t>
            </w:r>
          </w:p>
        </w:tc>
        <w:tc>
          <w:tcPr>
            <w:tcW w:w="1001"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6</w:t>
            </w:r>
          </w:p>
        </w:tc>
        <w:tc>
          <w:tcPr>
            <w:tcW w:w="1676"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 </w:t>
            </w:r>
          </w:p>
        </w:tc>
        <w:tc>
          <w:tcPr>
            <w:tcW w:w="1180"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asciiTheme="minorHAnsi" w:hAnsiTheme="minorHAnsi" w:eastAsiaTheme="minorEastAsia" w:cstheme="minorBidi"/>
                <w:kern w:val="0"/>
                <w:sz w:val="30"/>
                <w:szCs w:val="30"/>
                <w:bdr w:val="none" w:color="auto" w:sz="0" w:space="0"/>
                <w:lang w:val="en-US" w:eastAsia="zh-CN" w:bidi="ar"/>
              </w:rPr>
              <w:t>体育与健康</w:t>
            </w:r>
          </w:p>
        </w:tc>
        <w:tc>
          <w:tcPr>
            <w:tcW w:w="1001"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3</w:t>
            </w:r>
          </w:p>
        </w:tc>
        <w:tc>
          <w:tcPr>
            <w:tcW w:w="1676"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5</w:t>
            </w:r>
          </w:p>
        </w:tc>
        <w:tc>
          <w:tcPr>
            <w:tcW w:w="1180"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asciiTheme="minorHAnsi" w:hAnsiTheme="minorHAnsi" w:eastAsiaTheme="minorEastAsia" w:cstheme="minorBidi"/>
                <w:kern w:val="0"/>
                <w:sz w:val="30"/>
                <w:szCs w:val="30"/>
                <w:bdr w:val="none" w:color="auto" w:sz="0" w:space="0"/>
                <w:lang w:val="en-US" w:eastAsia="zh-CN" w:bidi="ar"/>
              </w:rPr>
              <w:t>艺术</w:t>
            </w:r>
          </w:p>
        </w:tc>
        <w:tc>
          <w:tcPr>
            <w:tcW w:w="1001"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2</w:t>
            </w:r>
          </w:p>
        </w:tc>
        <w:tc>
          <w:tcPr>
            <w:tcW w:w="1676"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 </w:t>
            </w:r>
          </w:p>
        </w:tc>
        <w:tc>
          <w:tcPr>
            <w:tcW w:w="1180"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asciiTheme="minorHAnsi" w:hAnsiTheme="minorHAnsi" w:eastAsiaTheme="minorEastAsia" w:cstheme="minorBidi"/>
                <w:kern w:val="0"/>
                <w:sz w:val="30"/>
                <w:szCs w:val="30"/>
                <w:bdr w:val="none" w:color="auto" w:sz="0" w:space="0"/>
                <w:lang w:val="en-US" w:eastAsia="zh-CN" w:bidi="ar"/>
              </w:rPr>
              <w:t>物理</w:t>
            </w:r>
          </w:p>
        </w:tc>
        <w:tc>
          <w:tcPr>
            <w:tcW w:w="1001"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2.5</w:t>
            </w:r>
          </w:p>
        </w:tc>
        <w:tc>
          <w:tcPr>
            <w:tcW w:w="1676"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 </w:t>
            </w:r>
          </w:p>
        </w:tc>
        <w:tc>
          <w:tcPr>
            <w:tcW w:w="1180"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asciiTheme="minorHAnsi" w:hAnsiTheme="minorHAnsi" w:eastAsiaTheme="minorEastAsia" w:cstheme="minorBidi"/>
                <w:kern w:val="0"/>
                <w:sz w:val="30"/>
                <w:szCs w:val="30"/>
                <w:bdr w:val="none" w:color="auto" w:sz="0" w:space="0"/>
                <w:lang w:val="en-US" w:eastAsia="zh-CN" w:bidi="ar"/>
              </w:rPr>
              <w:t>化学</w:t>
            </w:r>
          </w:p>
        </w:tc>
        <w:tc>
          <w:tcPr>
            <w:tcW w:w="1001"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2.5</w:t>
            </w:r>
          </w:p>
        </w:tc>
        <w:tc>
          <w:tcPr>
            <w:tcW w:w="1676"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 </w:t>
            </w:r>
          </w:p>
        </w:tc>
        <w:tc>
          <w:tcPr>
            <w:tcW w:w="1180"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asciiTheme="minorHAnsi" w:hAnsiTheme="minorHAnsi" w:eastAsiaTheme="minorEastAsia" w:cstheme="minorBidi"/>
                <w:kern w:val="0"/>
                <w:sz w:val="30"/>
                <w:szCs w:val="30"/>
                <w:bdr w:val="none" w:color="auto" w:sz="0" w:space="0"/>
                <w:lang w:val="en-US" w:eastAsia="zh-CN" w:bidi="ar"/>
              </w:rPr>
              <w:t>其他</w:t>
            </w:r>
          </w:p>
        </w:tc>
        <w:tc>
          <w:tcPr>
            <w:tcW w:w="1001"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 </w:t>
            </w:r>
          </w:p>
        </w:tc>
        <w:tc>
          <w:tcPr>
            <w:tcW w:w="1676"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3</w:t>
            </w:r>
          </w:p>
        </w:tc>
        <w:tc>
          <w:tcPr>
            <w:tcW w:w="1180"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141"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asciiTheme="minorHAnsi" w:hAnsiTheme="minorHAnsi" w:eastAsiaTheme="minorEastAsia" w:cstheme="minorBidi"/>
                <w:kern w:val="0"/>
                <w:sz w:val="30"/>
                <w:szCs w:val="30"/>
                <w:bdr w:val="none" w:color="auto" w:sz="0" w:space="0"/>
                <w:lang w:val="en-US" w:eastAsia="zh-CN" w:bidi="ar"/>
              </w:rPr>
              <w:t>合计</w:t>
            </w:r>
          </w:p>
        </w:tc>
        <w:tc>
          <w:tcPr>
            <w:tcW w:w="1001"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48</w:t>
            </w:r>
          </w:p>
        </w:tc>
        <w:tc>
          <w:tcPr>
            <w:tcW w:w="1676"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15</w:t>
            </w:r>
          </w:p>
        </w:tc>
        <w:tc>
          <w:tcPr>
            <w:tcW w:w="1180" w:type="pct"/>
            <w:tcBorders>
              <w:top w:val="single" w:color="auto" w:sz="4" w:space="0"/>
              <w:left w:val="single" w:color="auto" w:sz="4" w:space="0"/>
              <w:bottom w:val="single" w:color="auto" w:sz="4" w:space="0"/>
              <w:right w:val="single" w:color="auto" w:sz="4" w:space="0"/>
            </w:tcBorders>
            <w:shd w:val="clear"/>
            <w:tcMar>
              <w:top w:w="85" w:type="dxa"/>
              <w:bottom w:w="85" w:type="dxa"/>
            </w:tcMar>
            <w:vAlign w:val="top"/>
          </w:tcPr>
          <w:p>
            <w:pPr>
              <w:keepNext w:val="0"/>
              <w:keepLines w:val="0"/>
              <w:widowControl/>
              <w:suppressLineNumbers w:val="0"/>
              <w:overflowPunct w:val="0"/>
              <w:spacing w:before="0" w:beforeAutospacing="1" w:after="0" w:afterAutospacing="1"/>
              <w:ind w:left="0" w:right="0"/>
              <w:jc w:val="center"/>
              <w:rPr>
                <w:sz w:val="30"/>
                <w:szCs w:val="30"/>
              </w:rPr>
            </w:pPr>
            <w:r>
              <w:rPr>
                <w:rFonts w:eastAsia="方正仿宋简体" w:asciiTheme="minorHAnsi" w:hAnsiTheme="minorHAnsi" w:cstheme="minorBidi"/>
                <w:kern w:val="0"/>
                <w:sz w:val="30"/>
                <w:szCs w:val="30"/>
                <w:bdr w:val="none" w:color="auto" w:sz="0" w:space="0"/>
                <w:lang w:val="en-US" w:eastAsia="zh-CN" w:bidi="ar"/>
              </w:rPr>
              <w:t> </w:t>
            </w:r>
          </w:p>
        </w:tc>
      </w:tr>
    </w:tbl>
    <w:p>
      <w:pPr>
        <w:rPr>
          <w:vanish/>
          <w:sz w:val="30"/>
          <w:szCs w:val="3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30"/>
                <w:szCs w:val="30"/>
              </w:rPr>
            </w:pPr>
          </w:p>
        </w:tc>
      </w:tr>
    </w:tbl>
    <w:p>
      <w:pPr>
        <w:pStyle w:val="3"/>
        <w:keepNext w:val="0"/>
        <w:keepLines w:val="0"/>
        <w:widowControl/>
        <w:suppressLineNumbers w:val="0"/>
        <w:rPr>
          <w:sz w:val="30"/>
          <w:szCs w:val="30"/>
        </w:rPr>
      </w:pPr>
      <w:r>
        <w:rPr>
          <w:sz w:val="30"/>
          <w:szCs w:val="30"/>
        </w:rPr>
        <w:t>　　其中，外语包括英语、日语、俄语、德语、法语、西班牙语等，学校自主选择第一外语语种，鼓励学校创造条件开设第二外语。体育与健康的必修内容和限定性选修内容，须在校期间持续开设。物理是机械建筑类、电工电子类、化工农医类等相关专业的必修课程。化学是医药卫生类、农林牧渔类、加工制造类等相关专业的必修课程。“其他”为限定选修课程，可为职业模块，也可为拓展模块。语文、数学、外语的限定选修学分为职业模块内容，体育与健康的限定选修学分为拓展模块内容。</w:t>
      </w:r>
    </w:p>
    <w:p>
      <w:pPr>
        <w:pStyle w:val="3"/>
        <w:keepNext w:val="0"/>
        <w:keepLines w:val="0"/>
        <w:widowControl/>
        <w:suppressLineNumbers w:val="0"/>
        <w:rPr>
          <w:sz w:val="30"/>
          <w:szCs w:val="30"/>
        </w:rPr>
      </w:pPr>
      <w:r>
        <w:rPr>
          <w:sz w:val="30"/>
          <w:szCs w:val="30"/>
        </w:rPr>
        <w:t>　　</w:t>
      </w:r>
      <w:r>
        <w:rPr>
          <w:b/>
          <w:sz w:val="30"/>
          <w:szCs w:val="30"/>
        </w:rPr>
        <w:t>三、课程内容确定的原则</w:t>
      </w:r>
    </w:p>
    <w:p>
      <w:pPr>
        <w:pStyle w:val="3"/>
        <w:keepNext w:val="0"/>
        <w:keepLines w:val="0"/>
        <w:widowControl/>
        <w:suppressLineNumbers w:val="0"/>
        <w:rPr>
          <w:sz w:val="30"/>
          <w:szCs w:val="30"/>
        </w:rPr>
      </w:pPr>
      <w:r>
        <w:rPr>
          <w:sz w:val="30"/>
          <w:szCs w:val="30"/>
        </w:rPr>
        <w:t>　　（一）突出思想性</w:t>
      </w:r>
    </w:p>
    <w:p>
      <w:pPr>
        <w:pStyle w:val="3"/>
        <w:keepNext w:val="0"/>
        <w:keepLines w:val="0"/>
        <w:widowControl/>
        <w:suppressLineNumbers w:val="0"/>
        <w:rPr>
          <w:sz w:val="30"/>
          <w:szCs w:val="30"/>
        </w:rPr>
      </w:pPr>
      <w:r>
        <w:rPr>
          <w:sz w:val="30"/>
          <w:szCs w:val="30"/>
        </w:rPr>
        <w:t>　　坚持立德树人，充分反映习近平新时代中国特色社会主义思想，全面落实社会主义核心价值观的基本内容和要求，有机融入中华优秀传统文化、革命文化、社会主义先进文化、法治意识、国家安全、历史使命、社会责任、民族团结、生态文明、健康意识、审美观念等教育，促进全员育人、全程育人、全方位育人。</w:t>
      </w:r>
    </w:p>
    <w:p>
      <w:pPr>
        <w:pStyle w:val="3"/>
        <w:keepNext w:val="0"/>
        <w:keepLines w:val="0"/>
        <w:widowControl/>
        <w:suppressLineNumbers w:val="0"/>
        <w:rPr>
          <w:sz w:val="30"/>
          <w:szCs w:val="30"/>
        </w:rPr>
      </w:pPr>
      <w:r>
        <w:rPr>
          <w:sz w:val="30"/>
          <w:szCs w:val="30"/>
        </w:rPr>
        <w:t>　　（二）注重基础性</w:t>
      </w:r>
    </w:p>
    <w:p>
      <w:pPr>
        <w:pStyle w:val="3"/>
        <w:keepNext w:val="0"/>
        <w:keepLines w:val="0"/>
        <w:widowControl/>
        <w:suppressLineNumbers w:val="0"/>
        <w:rPr>
          <w:sz w:val="30"/>
          <w:szCs w:val="30"/>
        </w:rPr>
      </w:pPr>
      <w:r>
        <w:rPr>
          <w:sz w:val="30"/>
          <w:szCs w:val="30"/>
        </w:rPr>
        <w:t>　　遵循学生身心发展规律，依据学生发展核心素养，结合学生学业基础，精选适应学生终身学习和职业生涯发展需要的基本知识和基本技能，进一步打好学生文化基础，培养学生综合素质，夯实学生个性化发展的共同基础。</w:t>
      </w:r>
    </w:p>
    <w:p>
      <w:pPr>
        <w:pStyle w:val="3"/>
        <w:keepNext w:val="0"/>
        <w:keepLines w:val="0"/>
        <w:widowControl/>
        <w:suppressLineNumbers w:val="0"/>
        <w:rPr>
          <w:sz w:val="30"/>
          <w:szCs w:val="30"/>
        </w:rPr>
      </w:pPr>
      <w:r>
        <w:rPr>
          <w:sz w:val="30"/>
          <w:szCs w:val="30"/>
        </w:rPr>
        <w:t>　　（三）体现职业性</w:t>
      </w:r>
    </w:p>
    <w:p>
      <w:pPr>
        <w:pStyle w:val="3"/>
        <w:keepNext w:val="0"/>
        <w:keepLines w:val="0"/>
        <w:widowControl/>
        <w:suppressLineNumbers w:val="0"/>
        <w:rPr>
          <w:sz w:val="30"/>
          <w:szCs w:val="30"/>
        </w:rPr>
      </w:pPr>
      <w:r>
        <w:rPr>
          <w:sz w:val="30"/>
          <w:szCs w:val="30"/>
        </w:rPr>
        <w:t>　　加强公共基础课程与专业课程的融通、衔接和配合，强化课程内容与社会生活、职业生活的联系，突出实践育人。选择与职业生涯密切相关的教学内容，有机融入职业道德、劳动精神、劳模精神和工匠精神教育，培育学生职业精神，提高职业素养。适应学生不同的职业发展需求，分类分层设计课程内容。</w:t>
      </w:r>
    </w:p>
    <w:p>
      <w:pPr>
        <w:pStyle w:val="3"/>
        <w:keepNext w:val="0"/>
        <w:keepLines w:val="0"/>
        <w:widowControl/>
        <w:suppressLineNumbers w:val="0"/>
        <w:rPr>
          <w:sz w:val="30"/>
          <w:szCs w:val="30"/>
        </w:rPr>
      </w:pPr>
      <w:r>
        <w:rPr>
          <w:sz w:val="30"/>
          <w:szCs w:val="30"/>
        </w:rPr>
        <w:t>　　（四）反映时代性</w:t>
      </w:r>
    </w:p>
    <w:p>
      <w:pPr>
        <w:pStyle w:val="3"/>
        <w:keepNext w:val="0"/>
        <w:keepLines w:val="0"/>
        <w:widowControl/>
        <w:suppressLineNumbers w:val="0"/>
        <w:rPr>
          <w:sz w:val="30"/>
          <w:szCs w:val="30"/>
        </w:rPr>
      </w:pPr>
      <w:r>
        <w:rPr>
          <w:sz w:val="30"/>
          <w:szCs w:val="30"/>
        </w:rPr>
        <w:t>　　充分吸收马克思主义中国化最新成果，借鉴国内外课程改革的成功经验，优化课程结构，及时更新课程内容，体现先进的教育思想和教育理念，反映当代社会进步、科技发展、学科发展前沿和行业企业新技术、新工艺、新规范。</w:t>
      </w:r>
    </w:p>
    <w:p>
      <w:pPr>
        <w:pStyle w:val="3"/>
        <w:keepNext w:val="0"/>
        <w:keepLines w:val="0"/>
        <w:widowControl/>
        <w:suppressLineNumbers w:val="0"/>
        <w:rPr>
          <w:sz w:val="30"/>
          <w:szCs w:val="30"/>
        </w:rPr>
      </w:pPr>
      <w:r>
        <w:rPr>
          <w:sz w:val="30"/>
          <w:szCs w:val="30"/>
        </w:rPr>
        <w:t>　　</w:t>
      </w:r>
      <w:r>
        <w:rPr>
          <w:b/>
          <w:sz w:val="30"/>
          <w:szCs w:val="30"/>
        </w:rPr>
        <w:t>四、课程实施与评价</w:t>
      </w:r>
    </w:p>
    <w:p>
      <w:pPr>
        <w:pStyle w:val="3"/>
        <w:keepNext w:val="0"/>
        <w:keepLines w:val="0"/>
        <w:widowControl/>
        <w:suppressLineNumbers w:val="0"/>
        <w:rPr>
          <w:sz w:val="30"/>
          <w:szCs w:val="30"/>
        </w:rPr>
      </w:pPr>
      <w:r>
        <w:rPr>
          <w:sz w:val="30"/>
          <w:szCs w:val="30"/>
        </w:rPr>
        <w:t>　　（一）科学编制课程标准与教材</w:t>
      </w:r>
    </w:p>
    <w:p>
      <w:pPr>
        <w:pStyle w:val="3"/>
        <w:keepNext w:val="0"/>
        <w:keepLines w:val="0"/>
        <w:widowControl/>
        <w:suppressLineNumbers w:val="0"/>
        <w:rPr>
          <w:sz w:val="30"/>
          <w:szCs w:val="30"/>
        </w:rPr>
      </w:pPr>
      <w:r>
        <w:rPr>
          <w:sz w:val="30"/>
          <w:szCs w:val="30"/>
        </w:rPr>
        <w:t>　　课程标准研制应遵循本课程方案的总体要求，明确课程的育人价值，确定课程核心素养和课程目标，明确课程内容和学业质量标准，以指导教材编写、课程教学、考核评价与资源建设。</w:t>
      </w:r>
    </w:p>
    <w:p>
      <w:pPr>
        <w:pStyle w:val="3"/>
        <w:keepNext w:val="0"/>
        <w:keepLines w:val="0"/>
        <w:widowControl/>
        <w:suppressLineNumbers w:val="0"/>
        <w:rPr>
          <w:sz w:val="30"/>
          <w:szCs w:val="30"/>
        </w:rPr>
      </w:pPr>
      <w:r>
        <w:rPr>
          <w:sz w:val="30"/>
          <w:szCs w:val="30"/>
        </w:rPr>
        <w:t>　　教材编写要以课程标准为依据，围绕课程核心素养，充分考虑学生的兴趣和需求，精选教学内容，创新组织方式，丰富载体形式。教材编写应有利于学校组织安排教学，有利于促进教学方式方法改革。</w:t>
      </w:r>
    </w:p>
    <w:p>
      <w:pPr>
        <w:pStyle w:val="3"/>
        <w:keepNext w:val="0"/>
        <w:keepLines w:val="0"/>
        <w:widowControl/>
        <w:suppressLineNumbers w:val="0"/>
        <w:rPr>
          <w:sz w:val="30"/>
          <w:szCs w:val="30"/>
        </w:rPr>
      </w:pPr>
      <w:r>
        <w:rPr>
          <w:sz w:val="30"/>
          <w:szCs w:val="30"/>
        </w:rPr>
        <w:t>　　（二）合理实施课程教学</w:t>
      </w:r>
    </w:p>
    <w:p>
      <w:pPr>
        <w:pStyle w:val="3"/>
        <w:keepNext w:val="0"/>
        <w:keepLines w:val="0"/>
        <w:widowControl/>
        <w:suppressLineNumbers w:val="0"/>
        <w:rPr>
          <w:sz w:val="30"/>
          <w:szCs w:val="30"/>
        </w:rPr>
      </w:pPr>
      <w:r>
        <w:rPr>
          <w:sz w:val="30"/>
          <w:szCs w:val="30"/>
        </w:rPr>
        <w:t>　　学校在教育行政部门的指导下，依据本方案和课程标准，统筹专业教学标准、专业人才培养方案的贯彻执行，结合培养目标、办学条件、学生特点和职业发展需要，自主安排课程内容，合理实施教学，开齐国家规定的公共基础课程，开足规定学时。加强课堂教学管理，规范教学秩序，打造优质课堂。教师要准确把握课程教学要求，做好课程教学设计，规范编写、严格执行教案，合理运用各类教学资源，推动教学方式方法改革。</w:t>
      </w:r>
    </w:p>
    <w:p>
      <w:pPr>
        <w:pStyle w:val="3"/>
        <w:keepNext w:val="0"/>
        <w:keepLines w:val="0"/>
        <w:widowControl/>
        <w:suppressLineNumbers w:val="0"/>
        <w:rPr>
          <w:sz w:val="30"/>
          <w:szCs w:val="30"/>
        </w:rPr>
      </w:pPr>
      <w:r>
        <w:rPr>
          <w:sz w:val="30"/>
          <w:szCs w:val="30"/>
        </w:rPr>
        <w:t>　　（三）充分开发与利用课程资源</w:t>
      </w:r>
    </w:p>
    <w:p>
      <w:pPr>
        <w:pStyle w:val="3"/>
        <w:keepNext w:val="0"/>
        <w:keepLines w:val="0"/>
        <w:widowControl/>
        <w:suppressLineNumbers w:val="0"/>
        <w:rPr>
          <w:sz w:val="30"/>
          <w:szCs w:val="30"/>
        </w:rPr>
      </w:pPr>
      <w:r>
        <w:rPr>
          <w:sz w:val="30"/>
          <w:szCs w:val="30"/>
        </w:rPr>
        <w:t>　　鼓励学校自主开发或与其他学校、教科研机构、合作企业等联合开发纸质资源、数字化资源和地域特色资源等公共基础课程资源，促进资源共建共享。资源建设注重教与学并重，推动现代信息技术与教育教学的有机融合，助力教师组织实施教学，支持学生开展自主学习、协作学习和探究学习等多样化的学习方式，提升教学效果。</w:t>
      </w:r>
    </w:p>
    <w:p>
      <w:pPr>
        <w:pStyle w:val="3"/>
        <w:keepNext w:val="0"/>
        <w:keepLines w:val="0"/>
        <w:widowControl/>
        <w:suppressLineNumbers w:val="0"/>
        <w:rPr>
          <w:sz w:val="30"/>
          <w:szCs w:val="30"/>
        </w:rPr>
      </w:pPr>
      <w:r>
        <w:rPr>
          <w:sz w:val="30"/>
          <w:szCs w:val="30"/>
        </w:rPr>
        <w:t>　　（四）努力完善课程考核评价机制</w:t>
      </w:r>
    </w:p>
    <w:p>
      <w:pPr>
        <w:pStyle w:val="3"/>
        <w:keepNext w:val="0"/>
        <w:keepLines w:val="0"/>
        <w:widowControl/>
        <w:suppressLineNumbers w:val="0"/>
        <w:rPr>
          <w:sz w:val="30"/>
          <w:szCs w:val="30"/>
        </w:rPr>
      </w:pPr>
      <w:r>
        <w:rPr>
          <w:sz w:val="30"/>
          <w:szCs w:val="30"/>
        </w:rPr>
        <w:t>　　公共基础课程考核评价应以本课程方案、课程标准为基本依据。对接学业质量要求，重点考核学生运用知识分析与解决实际问题的能力，促进学生核心素养的发展。丰富评价形式，实行教师评价与学生评价相结合、过程性评价与终结性评价相结合等多元评价方式。</w:t>
      </w:r>
    </w:p>
    <w:p>
      <w:pPr>
        <w:pStyle w:val="3"/>
        <w:keepNext w:val="0"/>
        <w:keepLines w:val="0"/>
        <w:widowControl/>
        <w:suppressLineNumbers w:val="0"/>
        <w:rPr>
          <w:sz w:val="30"/>
          <w:szCs w:val="30"/>
        </w:rPr>
      </w:pPr>
      <w:r>
        <w:rPr>
          <w:sz w:val="30"/>
          <w:szCs w:val="30"/>
        </w:rPr>
        <w:t>　　省级教育行政部门可依据本方案建立公共基础课程教学质量监测体系，实施学业水平考试，提高中等职业学校公共基础课程管理水平和教学质量。</w:t>
      </w:r>
    </w:p>
    <w:p>
      <w:pPr>
        <w:pStyle w:val="3"/>
        <w:keepNext w:val="0"/>
        <w:keepLines w:val="0"/>
        <w:widowControl/>
        <w:suppressLineNumbers w:val="0"/>
        <w:rPr>
          <w:sz w:val="30"/>
          <w:szCs w:val="30"/>
        </w:rPr>
      </w:pPr>
      <w:r>
        <w:rPr>
          <w:sz w:val="30"/>
          <w:szCs w:val="30"/>
        </w:rPr>
        <w:t>　　</w:t>
      </w:r>
      <w:r>
        <w:rPr>
          <w:b/>
          <w:sz w:val="30"/>
          <w:szCs w:val="30"/>
        </w:rPr>
        <w:t>五、条件保障</w:t>
      </w:r>
    </w:p>
    <w:p>
      <w:pPr>
        <w:pStyle w:val="3"/>
        <w:keepNext w:val="0"/>
        <w:keepLines w:val="0"/>
        <w:widowControl/>
        <w:suppressLineNumbers w:val="0"/>
        <w:rPr>
          <w:sz w:val="30"/>
          <w:szCs w:val="30"/>
        </w:rPr>
      </w:pPr>
      <w:r>
        <w:rPr>
          <w:sz w:val="30"/>
          <w:szCs w:val="30"/>
        </w:rPr>
        <w:t>　　（一）加强教师队伍建设</w:t>
      </w:r>
    </w:p>
    <w:p>
      <w:pPr>
        <w:pStyle w:val="3"/>
        <w:keepNext w:val="0"/>
        <w:keepLines w:val="0"/>
        <w:widowControl/>
        <w:suppressLineNumbers w:val="0"/>
        <w:rPr>
          <w:sz w:val="30"/>
          <w:szCs w:val="30"/>
        </w:rPr>
      </w:pPr>
      <w:r>
        <w:rPr>
          <w:sz w:val="30"/>
          <w:szCs w:val="30"/>
        </w:rPr>
        <w:t>　　根据课程实施需要，配足配齐公共基础课程专任教师。支持学校聘用具有专业特长的兼职教师。</w:t>
      </w:r>
    </w:p>
    <w:p>
      <w:pPr>
        <w:pStyle w:val="3"/>
        <w:keepNext w:val="0"/>
        <w:keepLines w:val="0"/>
        <w:widowControl/>
        <w:suppressLineNumbers w:val="0"/>
        <w:rPr>
          <w:sz w:val="30"/>
          <w:szCs w:val="30"/>
        </w:rPr>
      </w:pPr>
      <w:r>
        <w:rPr>
          <w:sz w:val="30"/>
          <w:szCs w:val="30"/>
        </w:rPr>
        <w:t>　　加强师德师风建设，坚定教师理想信念，提升教师品德修养。完善中等职业学校教师进修和继续教育制度，鼓励和支持教师参加国培计划、省培计划等各级各类培训，提高教学能力，推动教师角色的转变和教育理念、教学观念、教学方法以及教学评价等方面的改革。改进教师工作量核定办法，健全教师奖惩机制，充分调动教师的积极性和创造性。</w:t>
      </w:r>
    </w:p>
    <w:p>
      <w:pPr>
        <w:pStyle w:val="3"/>
        <w:keepNext w:val="0"/>
        <w:keepLines w:val="0"/>
        <w:widowControl/>
        <w:suppressLineNumbers w:val="0"/>
        <w:rPr>
          <w:sz w:val="30"/>
          <w:szCs w:val="30"/>
        </w:rPr>
      </w:pPr>
      <w:r>
        <w:rPr>
          <w:sz w:val="30"/>
          <w:szCs w:val="30"/>
        </w:rPr>
        <w:t>　　（二）加强教学设施建设</w:t>
      </w:r>
    </w:p>
    <w:p>
      <w:pPr>
        <w:pStyle w:val="3"/>
        <w:keepNext w:val="0"/>
        <w:keepLines w:val="0"/>
        <w:widowControl/>
        <w:suppressLineNumbers w:val="0"/>
        <w:rPr>
          <w:sz w:val="30"/>
          <w:szCs w:val="30"/>
        </w:rPr>
      </w:pPr>
      <w:r>
        <w:rPr>
          <w:sz w:val="30"/>
          <w:szCs w:val="30"/>
        </w:rPr>
        <w:t>　　根据课程实施需要，进一步完善中等职业学校基础设施、图书资料、教学设备建设标准，改善教学环境与教学条件。配齐语音室、计算机室、多媒体教室、理化实验室、画室等专用教室与体育场馆，提供足够的图书及音视频资料、设施设备、实验器材及耗材等，保障外语、信息技术、体育与健康、艺术等公共基础课程的开设。建设智能化教学支持环境，创新服务供给模式，服务学生终身学习。</w:t>
      </w:r>
    </w:p>
    <w:p>
      <w:pPr>
        <w:pStyle w:val="3"/>
        <w:keepNext w:val="0"/>
        <w:keepLines w:val="0"/>
        <w:widowControl/>
        <w:suppressLineNumbers w:val="0"/>
        <w:rPr>
          <w:sz w:val="30"/>
          <w:szCs w:val="30"/>
        </w:rPr>
      </w:pPr>
      <w:r>
        <w:rPr>
          <w:sz w:val="30"/>
          <w:szCs w:val="30"/>
        </w:rPr>
        <w:t>　　（三）完善课程实施管理</w:t>
      </w:r>
    </w:p>
    <w:p>
      <w:pPr>
        <w:pStyle w:val="3"/>
        <w:keepNext w:val="0"/>
        <w:keepLines w:val="0"/>
        <w:widowControl/>
        <w:suppressLineNumbers w:val="0"/>
        <w:rPr>
          <w:sz w:val="30"/>
          <w:szCs w:val="30"/>
        </w:rPr>
      </w:pPr>
      <w:r>
        <w:rPr>
          <w:sz w:val="30"/>
          <w:szCs w:val="30"/>
        </w:rPr>
        <w:t>　　省级教育行政部门负责本地区中等职业学校公共基础课程设置与课程标准实施的统筹规划与管理督查。地市级教育行政部门负责中等职业学校公共基础课程建设的检查监督，把课程开设与实施情况作为考核学校工作的重要内容。学校要进一步健全公共基础课程管理制度，全面落实本方案和课程标准，保证开齐开足公共基础课程。职业教育教研机构要加强课程实施的培训和指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8639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陈俊清</cp:lastModifiedBy>
  <dcterms:modified xsi:type="dcterms:W3CDTF">2019-12-09T02:47:43Z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