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15" w:rsidRPr="004C5B5F" w:rsidRDefault="00A41415" w:rsidP="00A41415">
      <w:pPr>
        <w:pStyle w:val="1"/>
        <w:jc w:val="center"/>
        <w:rPr>
          <w:rFonts w:hint="eastAsia"/>
        </w:rPr>
      </w:pPr>
      <w:bookmarkStart w:id="0" w:name="_Toc5781771"/>
      <w:bookmarkStart w:id="1" w:name="OLE_LINK207"/>
      <w:bookmarkStart w:id="2" w:name="OLE_LINK208"/>
      <w:bookmarkStart w:id="3" w:name="_GoBack"/>
      <w:r w:rsidRPr="002C595A">
        <w:rPr>
          <w:rFonts w:hint="eastAsia"/>
        </w:rPr>
        <w:t>国务院办公厅关于深化产教融合的若干意见</w:t>
      </w:r>
      <w:r>
        <w:rPr>
          <w:rFonts w:hint="eastAsia"/>
        </w:rPr>
        <w:t>（</w:t>
      </w:r>
      <w:r w:rsidRPr="004C5B5F">
        <w:rPr>
          <w:rFonts w:hint="eastAsia"/>
        </w:rPr>
        <w:t>国办发</w:t>
      </w:r>
      <w:r>
        <w:rPr>
          <w:rFonts w:hint="eastAsia"/>
        </w:rPr>
        <w:t>[</w:t>
      </w:r>
      <w:r w:rsidRPr="004C5B5F">
        <w:rPr>
          <w:rFonts w:hint="eastAsia"/>
        </w:rPr>
        <w:t>2017</w:t>
      </w:r>
      <w:r>
        <w:rPr>
          <w:rFonts w:hint="eastAsia"/>
        </w:rPr>
        <w:t>]</w:t>
      </w:r>
      <w:r w:rsidRPr="004C5B5F">
        <w:rPr>
          <w:rFonts w:hint="eastAsia"/>
        </w:rPr>
        <w:t>95</w:t>
      </w:r>
      <w:r w:rsidRPr="004C5B5F">
        <w:rPr>
          <w:rFonts w:hint="eastAsia"/>
        </w:rPr>
        <w:t>号）</w:t>
      </w:r>
      <w:bookmarkEnd w:id="0"/>
    </w:p>
    <w:bookmarkEnd w:id="1"/>
    <w:bookmarkEnd w:id="2"/>
    <w:bookmarkEnd w:id="3"/>
    <w:p w:rsidR="00A41415" w:rsidRPr="00887B13" w:rsidRDefault="00A41415" w:rsidP="00A41415">
      <w:pPr>
        <w:widowControl/>
        <w:shd w:val="clear" w:color="auto" w:fill="FFFFFF"/>
        <w:rPr>
          <w:rFonts w:ascii="宋体" w:hAnsi="宋体" w:cs="宋体" w:hint="eastAsia"/>
          <w:color w:val="333333"/>
          <w:kern w:val="0"/>
          <w:sz w:val="28"/>
          <w:szCs w:val="28"/>
        </w:rPr>
      </w:pPr>
    </w:p>
    <w:p w:rsidR="00A41415" w:rsidRPr="00887B13" w:rsidRDefault="00A41415" w:rsidP="00A41415">
      <w:pPr>
        <w:widowControl/>
        <w:shd w:val="clear" w:color="auto" w:fill="FFFFFF"/>
        <w:rPr>
          <w:rFonts w:ascii="宋体" w:hAnsi="宋体" w:cs="宋体" w:hint="eastAsia"/>
          <w:color w:val="333333"/>
          <w:kern w:val="0"/>
          <w:sz w:val="28"/>
          <w:szCs w:val="28"/>
        </w:rPr>
      </w:pPr>
      <w:r w:rsidRPr="00887B13">
        <w:rPr>
          <w:rFonts w:ascii="宋体" w:hAnsi="宋体" w:cs="宋体" w:hint="eastAsia"/>
          <w:color w:val="333333"/>
          <w:kern w:val="0"/>
          <w:sz w:val="28"/>
          <w:szCs w:val="28"/>
        </w:rPr>
        <w:t>各省、自治区、直辖市人民政府，国务院各部委、各直属机构：</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进入新世纪以来，我国教育事业蓬勃发展，为社会主义现代化建设培养输送了大批高素质人才，为加快发展壮大现代产业体系</w:t>
      </w:r>
      <w:proofErr w:type="gramStart"/>
      <w:r w:rsidRPr="00887B13">
        <w:rPr>
          <w:rFonts w:ascii="宋体" w:hAnsi="宋体" w:cs="宋体" w:hint="eastAsia"/>
          <w:color w:val="333333"/>
          <w:kern w:val="0"/>
          <w:sz w:val="28"/>
          <w:szCs w:val="28"/>
        </w:rPr>
        <w:t>作出</w:t>
      </w:r>
      <w:proofErr w:type="gramEnd"/>
      <w:r w:rsidRPr="00887B13">
        <w:rPr>
          <w:rFonts w:ascii="宋体" w:hAnsi="宋体" w:cs="宋体" w:hint="eastAsia"/>
          <w:color w:val="333333"/>
          <w:kern w:val="0"/>
          <w:sz w:val="28"/>
          <w:szCs w:val="28"/>
        </w:rPr>
        <w:t>了重大贡献。但同时，受体</w:t>
      </w:r>
      <w:proofErr w:type="gramStart"/>
      <w:r w:rsidRPr="00887B13">
        <w:rPr>
          <w:rFonts w:ascii="宋体" w:hAnsi="宋体" w:cs="宋体" w:hint="eastAsia"/>
          <w:color w:val="333333"/>
          <w:kern w:val="0"/>
          <w:sz w:val="28"/>
          <w:szCs w:val="28"/>
        </w:rPr>
        <w:t>制机制</w:t>
      </w:r>
      <w:proofErr w:type="gramEnd"/>
      <w:r w:rsidRPr="00887B13">
        <w:rPr>
          <w:rFonts w:ascii="宋体" w:hAnsi="宋体" w:cs="宋体" w:hint="eastAsia"/>
          <w:color w:val="333333"/>
          <w:kern w:val="0"/>
          <w:sz w:val="28"/>
          <w:szCs w:val="28"/>
        </w:rPr>
        <w:t>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一、总体要求</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（一）指导思想。</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w:t>
      </w:r>
      <w:r w:rsidRPr="00887B13">
        <w:rPr>
          <w:rFonts w:ascii="宋体" w:hAnsi="宋体" w:cs="宋体" w:hint="eastAsia"/>
          <w:color w:val="333333"/>
          <w:kern w:val="0"/>
          <w:sz w:val="28"/>
          <w:szCs w:val="28"/>
        </w:rPr>
        <w:lastRenderedPageBreak/>
        <w:t>人才，为加快建设实体经济、科技创新、现代金融、人力资源协同发展的产业体系，增强产业核心竞争力，汇聚发展新动能提供有力支撑。</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（二）原则和目标。</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统筹协调，共同推进。将产教融合作为促进经济社会协调发展的重要举措，融入经济转型升级各环节，贯穿人才开发全过程，形成政府企业学校行业社会协同推进的工作格局。</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服务需求，优化结构。面向产业和区域发展需求，完善教育资源布局，加快人才培养结构调整，创新教育组织形态，促进教育和产业联动发展。</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校企协同，合作育人。充分调动企业参与产教融合的积极性和主动性，强化政策引导，鼓励先行先试，促进供需对接和流程再造，构建校企合作长效机制。</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二、构建教育和产业统筹融合发展格局</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（三）同步规划产教融合与经济社会发展。制定实施经济社会发展规划，以及区域发展、产业发展、城市建设和重大生产力布局规划，要</w:t>
      </w:r>
      <w:proofErr w:type="gramStart"/>
      <w:r w:rsidRPr="00887B13">
        <w:rPr>
          <w:rFonts w:ascii="宋体" w:hAnsi="宋体" w:cs="宋体" w:hint="eastAsia"/>
          <w:color w:val="333333"/>
          <w:kern w:val="0"/>
          <w:sz w:val="28"/>
          <w:szCs w:val="28"/>
        </w:rPr>
        <w:t>明确产</w:t>
      </w:r>
      <w:proofErr w:type="gramEnd"/>
      <w:r w:rsidRPr="00887B13">
        <w:rPr>
          <w:rFonts w:ascii="宋体" w:hAnsi="宋体" w:cs="宋体" w:hint="eastAsia"/>
          <w:color w:val="333333"/>
          <w:kern w:val="0"/>
          <w:sz w:val="28"/>
          <w:szCs w:val="28"/>
        </w:rPr>
        <w:t>教融合发展要求，将教育优先、人才先行融入各项政策。结合实施创新驱动发展、新型城镇化、制造强国战略，统筹优化教育和</w:t>
      </w:r>
      <w:r w:rsidRPr="00887B13">
        <w:rPr>
          <w:rFonts w:ascii="宋体" w:hAnsi="宋体" w:cs="宋体" w:hint="eastAsia"/>
          <w:color w:val="333333"/>
          <w:kern w:val="0"/>
          <w:sz w:val="28"/>
          <w:szCs w:val="28"/>
        </w:rPr>
        <w:lastRenderedPageBreak/>
        <w:t>产业结构，同步规划产教融合发展政策措施、支持方式、实现途径和重大项目。</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四）统筹职业教育与区域发展布局。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w:t>
      </w:r>
      <w:proofErr w:type="gramStart"/>
      <w:r w:rsidRPr="00887B13">
        <w:rPr>
          <w:rFonts w:ascii="宋体" w:hAnsi="宋体" w:cs="宋体" w:hint="eastAsia"/>
          <w:color w:val="333333"/>
          <w:kern w:val="0"/>
          <w:sz w:val="28"/>
          <w:szCs w:val="28"/>
        </w:rPr>
        <w:t>带城市</w:t>
      </w:r>
      <w:proofErr w:type="gramEnd"/>
      <w:r w:rsidRPr="00887B13">
        <w:rPr>
          <w:rFonts w:ascii="宋体" w:hAnsi="宋体" w:cs="宋体" w:hint="eastAsia"/>
          <w:color w:val="333333"/>
          <w:kern w:val="0"/>
          <w:sz w:val="28"/>
          <w:szCs w:val="28"/>
        </w:rPr>
        <w:t>间协同合作，引导各地结合区域功能、产业特点探索差别化职业教育发展路径。</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（五）促进高等教育融入国家创新体系和新型城镇化建设。完善世界一流大学和一流学科建设推进机制，注重发挥对国家和区域创新中心发展的支撑引领作用。健全高等学校与行业骨干企业、中小</w:t>
      </w:r>
      <w:proofErr w:type="gramStart"/>
      <w:r w:rsidRPr="00887B13">
        <w:rPr>
          <w:rFonts w:ascii="宋体" w:hAnsi="宋体" w:cs="宋体" w:hint="eastAsia"/>
          <w:color w:val="333333"/>
          <w:kern w:val="0"/>
          <w:sz w:val="28"/>
          <w:szCs w:val="28"/>
        </w:rPr>
        <w:t>微创业</w:t>
      </w:r>
      <w:proofErr w:type="gramEnd"/>
      <w:r w:rsidRPr="00887B13">
        <w:rPr>
          <w:rFonts w:ascii="宋体" w:hAnsi="宋体" w:cs="宋体" w:hint="eastAsia"/>
          <w:color w:val="333333"/>
          <w:kern w:val="0"/>
          <w:sz w:val="28"/>
          <w:szCs w:val="28"/>
        </w:rPr>
        <w:t>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六）推动学科专业建设与产业转型升级相适应。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w:t>
      </w:r>
      <w:r w:rsidRPr="00887B13">
        <w:rPr>
          <w:rFonts w:ascii="宋体" w:hAnsi="宋体" w:cs="宋体" w:hint="eastAsia"/>
          <w:color w:val="333333"/>
          <w:kern w:val="0"/>
          <w:sz w:val="28"/>
          <w:szCs w:val="28"/>
        </w:rPr>
        <w:lastRenderedPageBreak/>
        <w:t>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（七）健全需求导向的人才培养结构调整机制。加快推进教育“放管服”改革，注重发挥市场机制</w:t>
      </w:r>
      <w:proofErr w:type="gramStart"/>
      <w:r w:rsidRPr="00887B13">
        <w:rPr>
          <w:rFonts w:ascii="宋体" w:hAnsi="宋体" w:cs="宋体" w:hint="eastAsia"/>
          <w:color w:val="333333"/>
          <w:kern w:val="0"/>
          <w:sz w:val="28"/>
          <w:szCs w:val="28"/>
        </w:rPr>
        <w:t>配置非</w:t>
      </w:r>
      <w:proofErr w:type="gramEnd"/>
      <w:r w:rsidRPr="00887B13">
        <w:rPr>
          <w:rFonts w:ascii="宋体" w:hAnsi="宋体" w:cs="宋体" w:hint="eastAsia"/>
          <w:color w:val="333333"/>
          <w:kern w:val="0"/>
          <w:sz w:val="28"/>
          <w:szCs w:val="28"/>
        </w:rPr>
        <w:t>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三、强化企业重要主体作用</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八）拓宽企业参与途径。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lastRenderedPageBreak/>
        <w:t>（九）深化“引企入教”改革。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（十）开展生产性实习实训。健全学生到企业实习实训制度。鼓励以</w:t>
      </w:r>
      <w:proofErr w:type="gramStart"/>
      <w:r w:rsidRPr="00887B13">
        <w:rPr>
          <w:rFonts w:ascii="宋体" w:hAnsi="宋体" w:cs="宋体" w:hint="eastAsia"/>
          <w:color w:val="333333"/>
          <w:kern w:val="0"/>
          <w:sz w:val="28"/>
          <w:szCs w:val="28"/>
        </w:rPr>
        <w:t>引企驻</w:t>
      </w:r>
      <w:proofErr w:type="gramEnd"/>
      <w:r w:rsidRPr="00887B13">
        <w:rPr>
          <w:rFonts w:ascii="宋体" w:hAnsi="宋体" w:cs="宋体" w:hint="eastAsia"/>
          <w:color w:val="333333"/>
          <w:kern w:val="0"/>
          <w:sz w:val="28"/>
          <w:szCs w:val="28"/>
        </w:rPr>
        <w:t>校、</w:t>
      </w:r>
      <w:proofErr w:type="gramStart"/>
      <w:r w:rsidRPr="00887B13">
        <w:rPr>
          <w:rFonts w:ascii="宋体" w:hAnsi="宋体" w:cs="宋体" w:hint="eastAsia"/>
          <w:color w:val="333333"/>
          <w:kern w:val="0"/>
          <w:sz w:val="28"/>
          <w:szCs w:val="28"/>
        </w:rPr>
        <w:t>引校进企</w:t>
      </w:r>
      <w:proofErr w:type="gramEnd"/>
      <w:r w:rsidRPr="00887B13">
        <w:rPr>
          <w:rFonts w:ascii="宋体" w:hAnsi="宋体" w:cs="宋体" w:hint="eastAsia"/>
          <w:color w:val="333333"/>
          <w:kern w:val="0"/>
          <w:sz w:val="28"/>
          <w:szCs w:val="28"/>
        </w:rPr>
        <w:t>、校企一体等方式，吸引优势企业与学校共建共享生产性实训基地。支持各地依托学校建设行业或区域性实训基地，带动中小</w:t>
      </w:r>
      <w:proofErr w:type="gramStart"/>
      <w:r w:rsidRPr="00887B13">
        <w:rPr>
          <w:rFonts w:ascii="宋体" w:hAnsi="宋体" w:cs="宋体" w:hint="eastAsia"/>
          <w:color w:val="333333"/>
          <w:kern w:val="0"/>
          <w:sz w:val="28"/>
          <w:szCs w:val="28"/>
        </w:rPr>
        <w:t>微企业</w:t>
      </w:r>
      <w:proofErr w:type="gramEnd"/>
      <w:r w:rsidRPr="00887B13">
        <w:rPr>
          <w:rFonts w:ascii="宋体" w:hAnsi="宋体" w:cs="宋体" w:hint="eastAsia"/>
          <w:color w:val="333333"/>
          <w:kern w:val="0"/>
          <w:sz w:val="28"/>
          <w:szCs w:val="28"/>
        </w:rPr>
        <w:t>参与校企合作。通过探索购买服务、落实税收政策等方式，鼓励企业直接接收学生实习实训。推进实习实训规范化，保障学生享有获得合理报酬等合法权益。</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一）以企业为主体推进协同创新和成果转化。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lastRenderedPageBreak/>
        <w:t>（十二）强化企业职工在岗教育培训。落实企业职工培训制度，足额提取教育培训经费，确保教育培训经费60%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三）发挥骨干企业引领作用。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四、推进产教融合人才培养改革</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四）将工匠精神培育融入基础教育。将动手实践内容纳入中小学相关课程和学生综合素质评价。加强学校劳动教育，开展生产实践体验，支持学校聘请劳动模范和高技能人才兼职授课。组织开展“大国工匠进校园”活动。鼓励有条件的普通中学开设职业类选修课程，鼓励职业学校实训基地向普通中学开放。鼓励有条件的地方在大型企业、产业园区周边试点建设普职融通的综合高中。</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（十五）推进产教协同育人。坚持职业教育校企合作、工学结合的办学制度，推进职业学校和企业联盟、与行业联合、同园区联结。大力发展</w:t>
      </w:r>
      <w:proofErr w:type="gramStart"/>
      <w:r w:rsidRPr="00887B13">
        <w:rPr>
          <w:rFonts w:ascii="宋体" w:hAnsi="宋体" w:cs="宋体" w:hint="eastAsia"/>
          <w:color w:val="333333"/>
          <w:kern w:val="0"/>
          <w:sz w:val="28"/>
          <w:szCs w:val="28"/>
        </w:rPr>
        <w:t>校企双制</w:t>
      </w:r>
      <w:proofErr w:type="gramEnd"/>
      <w:r w:rsidRPr="00887B13">
        <w:rPr>
          <w:rFonts w:ascii="宋体" w:hAnsi="宋体" w:cs="宋体" w:hint="eastAsia"/>
          <w:color w:val="333333"/>
          <w:kern w:val="0"/>
          <w:sz w:val="28"/>
          <w:szCs w:val="28"/>
        </w:rPr>
        <w:t>、工学一体的技工教育。深化全日制职业学校办学</w:t>
      </w:r>
      <w:r w:rsidRPr="00887B13">
        <w:rPr>
          <w:rFonts w:ascii="宋体" w:hAnsi="宋体" w:cs="宋体" w:hint="eastAsia"/>
          <w:color w:val="333333"/>
          <w:kern w:val="0"/>
          <w:sz w:val="28"/>
          <w:szCs w:val="28"/>
        </w:rPr>
        <w:lastRenderedPageBreak/>
        <w:t>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六）加强产教融合师资队伍建设。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七）完善考试招生配套改革。加快高等职业学校分类招考，完善“文化素质+职业技能”评价方式。适度提高高等学校招收职业教育毕业生比例，建立复合型、创新型技术技能人才系统培养制度。逐步提高高等学校招收有工作实践经历人员的比例。</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（十八）加快学校治理结构改革。建立健全职业学校和高等学校理事会制度，鼓励引入行业企业、科研院所、社会组织等多方参与。</w:t>
      </w:r>
      <w:r w:rsidRPr="00887B13">
        <w:rPr>
          <w:rFonts w:ascii="宋体" w:hAnsi="宋体" w:cs="宋体" w:hint="eastAsia"/>
          <w:color w:val="333333"/>
          <w:kern w:val="0"/>
          <w:sz w:val="28"/>
          <w:szCs w:val="28"/>
        </w:rPr>
        <w:lastRenderedPageBreak/>
        <w:t>推动学校优化内部治理，充分体现一线教学科研机构自主权，积极发展跨学科、跨专业教学和科研组织。</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十九）创新教育培训服务供给。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五、促进产教供需双向对接</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强化行业协调指导。行业主管部门要加强引导，通过职能转移、授权委托等方式，积极支持行业组织制定深化产教融合工作计划，开展人才需求预测、校企合作对接、教育教学指导、职业技能鉴定等服务。</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一）规范发展市场服务组织。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（二十二）打造信息服务平台。鼓励运用云计算、大数据等信息技术，建设市场化、专业化、开放共享的产教融合信息服务平台。依托平台汇聚区域和行业人才供需、校企合作、项目研发、技术服务等</w:t>
      </w:r>
      <w:r w:rsidRPr="00887B13">
        <w:rPr>
          <w:rFonts w:ascii="宋体" w:hAnsi="宋体" w:cs="宋体" w:hint="eastAsia"/>
          <w:color w:val="333333"/>
          <w:kern w:val="0"/>
          <w:sz w:val="28"/>
          <w:szCs w:val="28"/>
        </w:rPr>
        <w:lastRenderedPageBreak/>
        <w:t>各类供求信息，向各类主体提供精准化产教融合信息发布、检索、推荐和相关增值服务。</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（二十三）健全社会第三方评价。积极支持社会第三方机构开展产教融合效能评价，健全统计评价体系。强化监测评价结果运用，作为绩效考核、投入引导、试点开展、表彰激励的重要依据。</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六、完善政策支持体系</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四）实施产教融合发展工程。“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五）落实财税用地等政策。优化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lastRenderedPageBreak/>
        <w:t>（二十六）强化金融支持。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七）开展产教融合建设试点。根据国家区域发展战略和产业布局，支持若干有较强代表性、影响力和改革意愿的城市、行业、企业开展试点。在认真总结试点经验基础上，鼓励第三方开展产教融合型城市和企业建设评价，完善支持激励政策。</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八）加强国际交流合作。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b/>
          <w:bCs/>
          <w:color w:val="333333"/>
          <w:kern w:val="0"/>
          <w:sz w:val="28"/>
          <w:szCs w:val="28"/>
        </w:rPr>
        <w:t>七、组织实施</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（二十九）强化工作协调。加强组织领导，建立发展改革、教育、人力资源社会保障、财政、工业和信息化等部门密切配合，有关行业</w:t>
      </w:r>
      <w:r w:rsidRPr="00887B13">
        <w:rPr>
          <w:rFonts w:ascii="宋体" w:hAnsi="宋体" w:cs="宋体" w:hint="eastAsia"/>
          <w:color w:val="333333"/>
          <w:kern w:val="0"/>
          <w:sz w:val="28"/>
          <w:szCs w:val="28"/>
        </w:rPr>
        <w:lastRenderedPageBreak/>
        <w:t>主管部门、国有资产监督管理部门积极参与的工作协调机制，加强协同联动，推进工作落实。各省级人民政府要结合本地实际制定具体实施办法。</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三十）营造良好环境。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附件：重点任务分工</w:t>
      </w:r>
    </w:p>
    <w:p w:rsidR="00A41415" w:rsidRPr="00887B13" w:rsidRDefault="00A41415" w:rsidP="00A41415">
      <w:pPr>
        <w:widowControl/>
        <w:shd w:val="clear" w:color="auto" w:fill="FFFFFF"/>
        <w:jc w:val="right"/>
        <w:rPr>
          <w:rFonts w:ascii="宋体" w:hAnsi="宋体" w:cs="宋体" w:hint="eastAsia"/>
          <w:color w:val="333333"/>
          <w:kern w:val="0"/>
          <w:sz w:val="28"/>
          <w:szCs w:val="28"/>
        </w:rPr>
      </w:pPr>
      <w:r w:rsidRPr="00887B13">
        <w:rPr>
          <w:rFonts w:ascii="宋体" w:hAnsi="宋体" w:cs="宋体" w:hint="eastAsia"/>
          <w:color w:val="333333"/>
          <w:kern w:val="0"/>
          <w:sz w:val="28"/>
          <w:szCs w:val="28"/>
        </w:rPr>
        <w:t>国务院办公厅           </w:t>
      </w:r>
    </w:p>
    <w:p w:rsidR="00A41415" w:rsidRPr="00887B13" w:rsidRDefault="00A41415" w:rsidP="00A41415">
      <w:pPr>
        <w:widowControl/>
        <w:shd w:val="clear" w:color="auto" w:fill="FFFFFF"/>
        <w:jc w:val="right"/>
        <w:rPr>
          <w:rFonts w:ascii="宋体" w:hAnsi="宋体" w:cs="宋体" w:hint="eastAsia"/>
          <w:color w:val="333333"/>
          <w:kern w:val="0"/>
          <w:sz w:val="28"/>
          <w:szCs w:val="28"/>
        </w:rPr>
      </w:pPr>
      <w:r w:rsidRPr="00887B13">
        <w:rPr>
          <w:rFonts w:ascii="宋体" w:hAnsi="宋体" w:cs="宋体" w:hint="eastAsia"/>
          <w:color w:val="333333"/>
          <w:kern w:val="0"/>
          <w:sz w:val="28"/>
          <w:szCs w:val="28"/>
        </w:rPr>
        <w:t>2017年12月5日          </w:t>
      </w:r>
    </w:p>
    <w:p w:rsidR="00A41415" w:rsidRPr="00887B13" w:rsidRDefault="00A41415" w:rsidP="00A41415">
      <w:pPr>
        <w:widowControl/>
        <w:shd w:val="clear" w:color="auto" w:fill="FFFFFF"/>
        <w:ind w:firstLine="480"/>
        <w:rPr>
          <w:rFonts w:ascii="宋体" w:hAnsi="宋体" w:cs="宋体" w:hint="eastAsia"/>
          <w:color w:val="333333"/>
          <w:kern w:val="0"/>
          <w:sz w:val="28"/>
          <w:szCs w:val="28"/>
        </w:rPr>
      </w:pPr>
      <w:r w:rsidRPr="00887B13">
        <w:rPr>
          <w:rFonts w:ascii="宋体" w:hAnsi="宋体" w:cs="宋体" w:hint="eastAsia"/>
          <w:color w:val="333333"/>
          <w:kern w:val="0"/>
          <w:sz w:val="28"/>
          <w:szCs w:val="28"/>
        </w:rPr>
        <w:t>（此件公开发布）</w:t>
      </w:r>
    </w:p>
    <w:p w:rsidR="00A41415" w:rsidRPr="002C595A" w:rsidRDefault="00A41415" w:rsidP="00A41415">
      <w:pPr>
        <w:pStyle w:val="a3"/>
        <w:shd w:val="clear" w:color="auto" w:fill="FFFFFF"/>
        <w:spacing w:before="0" w:beforeAutospacing="0" w:after="0" w:afterAutospacing="0"/>
        <w:jc w:val="both"/>
        <w:rPr>
          <w:color w:val="333333"/>
        </w:rPr>
      </w:pPr>
      <w:r w:rsidRPr="00887B13">
        <w:rPr>
          <w:color w:val="4B4B4B"/>
          <w:sz w:val="28"/>
          <w:szCs w:val="28"/>
        </w:rPr>
        <w:br w:type="page"/>
      </w:r>
      <w:r w:rsidRPr="002C595A">
        <w:rPr>
          <w:rFonts w:hint="eastAsia"/>
          <w:b/>
          <w:bCs/>
          <w:color w:val="333333"/>
        </w:rPr>
        <w:lastRenderedPageBreak/>
        <w:t>附件</w:t>
      </w:r>
    </w:p>
    <w:p w:rsidR="00A41415" w:rsidRPr="002C595A" w:rsidRDefault="00A41415" w:rsidP="00A41415">
      <w:pPr>
        <w:widowControl/>
        <w:shd w:val="clear" w:color="auto" w:fill="FFFFFF"/>
        <w:rPr>
          <w:rFonts w:ascii="宋体" w:hAnsi="宋体" w:cs="宋体" w:hint="eastAsia"/>
          <w:color w:val="333333"/>
          <w:kern w:val="0"/>
          <w:sz w:val="24"/>
        </w:rPr>
      </w:pPr>
    </w:p>
    <w:p w:rsidR="00A41415" w:rsidRPr="002C595A" w:rsidRDefault="00A41415" w:rsidP="00A41415">
      <w:pPr>
        <w:widowControl/>
        <w:shd w:val="clear" w:color="auto" w:fill="FFFFFF"/>
        <w:jc w:val="center"/>
        <w:rPr>
          <w:rFonts w:ascii="宋体" w:hAnsi="宋体" w:cs="宋体" w:hint="eastAsia"/>
          <w:color w:val="333333"/>
          <w:kern w:val="0"/>
          <w:sz w:val="24"/>
        </w:rPr>
      </w:pPr>
      <w:r w:rsidRPr="002C595A">
        <w:rPr>
          <w:rFonts w:ascii="宋体" w:hAnsi="宋体" w:cs="宋体" w:hint="eastAsia"/>
          <w:b/>
          <w:bCs/>
          <w:color w:val="333333"/>
          <w:kern w:val="0"/>
          <w:sz w:val="36"/>
          <w:szCs w:val="36"/>
        </w:rPr>
        <w:t xml:space="preserve">重 点 任 </w:t>
      </w:r>
      <w:proofErr w:type="gramStart"/>
      <w:r w:rsidRPr="002C595A">
        <w:rPr>
          <w:rFonts w:ascii="宋体" w:hAnsi="宋体" w:cs="宋体" w:hint="eastAsia"/>
          <w:b/>
          <w:bCs/>
          <w:color w:val="333333"/>
          <w:kern w:val="0"/>
          <w:sz w:val="36"/>
          <w:szCs w:val="36"/>
        </w:rPr>
        <w:t>务</w:t>
      </w:r>
      <w:proofErr w:type="gramEnd"/>
      <w:r w:rsidRPr="002C595A">
        <w:rPr>
          <w:rFonts w:ascii="宋体" w:hAnsi="宋体" w:cs="宋体" w:hint="eastAsia"/>
          <w:b/>
          <w:bCs/>
          <w:color w:val="333333"/>
          <w:kern w:val="0"/>
          <w:sz w:val="36"/>
          <w:szCs w:val="36"/>
        </w:rPr>
        <w:t xml:space="preserve"> 分 工</w:t>
      </w:r>
    </w:p>
    <w:p w:rsidR="00A41415" w:rsidRPr="002C595A" w:rsidRDefault="00A41415" w:rsidP="00A41415">
      <w:pPr>
        <w:widowControl/>
        <w:shd w:val="clear" w:color="auto" w:fill="FFFFFF"/>
        <w:jc w:val="center"/>
        <w:rPr>
          <w:rFonts w:ascii="宋体" w:hAnsi="宋体" w:cs="宋体" w:hint="eastAsia"/>
          <w:color w:val="333333"/>
          <w:kern w:val="0"/>
          <w:sz w:val="24"/>
        </w:rPr>
      </w:pPr>
    </w:p>
    <w:tbl>
      <w:tblPr>
        <w:tblW w:w="9072" w:type="dxa"/>
        <w:jc w:val="center"/>
        <w:tblCellMar>
          <w:left w:w="0" w:type="dxa"/>
          <w:right w:w="0" w:type="dxa"/>
        </w:tblCellMar>
        <w:tblLook w:val="04A0" w:firstRow="1" w:lastRow="0" w:firstColumn="1" w:lastColumn="0" w:noHBand="0" w:noVBand="1"/>
      </w:tblPr>
      <w:tblGrid>
        <w:gridCol w:w="719"/>
        <w:gridCol w:w="1537"/>
        <w:gridCol w:w="4225"/>
        <w:gridCol w:w="2591"/>
      </w:tblGrid>
      <w:tr w:rsidR="00A41415" w:rsidRPr="002C595A" w:rsidTr="00213523">
        <w:trPr>
          <w:jc w:val="center"/>
        </w:trPr>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宋体" w:hAnsi="宋体" w:cs="宋体" w:hint="eastAsia"/>
                <w:b/>
                <w:bCs/>
                <w:kern w:val="0"/>
                <w:sz w:val="20"/>
                <w:szCs w:val="20"/>
              </w:rPr>
              <w:t>序号</w:t>
            </w:r>
          </w:p>
        </w:tc>
        <w:tc>
          <w:tcPr>
            <w:tcW w:w="144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宋体" w:hAnsi="宋体" w:cs="宋体" w:hint="eastAsia"/>
                <w:b/>
                <w:bCs/>
                <w:kern w:val="0"/>
                <w:sz w:val="20"/>
                <w:szCs w:val="20"/>
              </w:rPr>
              <w:t>工作任务</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宋体" w:hAnsi="宋体" w:cs="宋体" w:hint="eastAsia"/>
                <w:b/>
                <w:bCs/>
                <w:kern w:val="0"/>
                <w:sz w:val="20"/>
                <w:szCs w:val="20"/>
              </w:rPr>
              <w:t>主要内容</w:t>
            </w:r>
          </w:p>
        </w:tc>
        <w:tc>
          <w:tcPr>
            <w:tcW w:w="24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宋体" w:hAnsi="宋体" w:cs="宋体" w:hint="eastAsia"/>
                <w:b/>
                <w:bCs/>
                <w:kern w:val="0"/>
                <w:sz w:val="20"/>
                <w:szCs w:val="20"/>
              </w:rPr>
              <w:t>责任单位</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构建教育和产业统筹融合发展格局</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同步规划产教融合与经济社会发展。</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国家发展改革委会同有关部门，各省级人民政府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统筹职业教育与区域发展布局。</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教育部、国家发展改革委、人力资源社会保障部，各省级人民政府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3</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促进高等教育融入国家创新体系和新型城镇化建设。</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教育部、国家发展改革委、科技部，有关省级人民政府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4</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推动学科专业建设与产业转型升级相适应。建立紧密对接产业链、创新链的学科专业体系。加快推进新工科建设。</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教育部、国家发展改革委会同有关部门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5</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健全需求导向的人才培养结构调整机制。严格实行专业预警和退出机制。</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6</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强化企业重要主体作用</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鼓励企业以独资、合资、合作等方式依法参与举办职业教育、高等教育。坚持准入条件透明化、审批范围最小化，细化标准、简化流程、优化服务，改进办学准入条件和审批环节。</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7</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鼓励有条件的地区探索推进职业学校股份制、混合所有制改革，允许企业以资本、技术、管理等要素依法参与办学并享有相应权利。</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有关省级人民政府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8</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深化“引企入教”改革，促进企业需求融入人才培养环节。</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教育部、人力资源社会保障部、工业和信息化部会同有关部门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9</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健全学生到企业实习实训制度，推进实习实训规范化。</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教育部、国家发展改革委、人力资源社会保障部会同有关部门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10</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强化企业重要主体作用</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引导高校将企业生产一线实际需求作为工程技术研究选题的重要来源。高校、科研机构牵头申请的应用型、工程技术研究项目原则上应有行业企业参与并制订成果转化方案。完善高校科研后评价体系，将成果转化作为项目和人才评价重要内容。</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教育部、科技部会同有关部门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11</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继续加强企业技术中心和高校技术创新平台建设，鼓励企业和高校共建产业技术实验室、中试和工程化基地。利用产业投资基金支持高校创新成果和核心技术产业化。</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国家发展改革委、教育部、科技部、财政部会同有关部门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12</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强化企业职工在岗教育培训。</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全国总工会、人力资源社会保障部会同有关部门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lastRenderedPageBreak/>
              <w:t>13</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鼓励区域、行业骨干企业联合职业学校、高等学校共同组建产教融合集团（联盟），带动中小企业参与，推进实体化运作。</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有关部门和行业协会，各省级人民政府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14</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注重发挥国有企业特别是中央企业示范带头作用，支持各类企业依法参与校企合作。</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国务院国资委、全国工商联</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15</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结合推进国有企业改革，支持有条件的国有企业继续办好做强职业学校。</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国务院国资委、国家发展改革委、财政部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16</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推进产教融合人才培养改革</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将工匠精神培育融入基础教育。深化全日制职业学校办学体制改革，在技术性、实践性较强的专业，全面推行现代学徒制和企业新型学徒制。</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教育部、人力资源社会保障部、国家发展改革委、全国总工会会同有关部门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17</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健全高等教育学术人才和应用人才分类培养体系，提高应用型人才培养比重。</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教育部、国家发展改革委会同有关部门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18</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加强产教融合师资队伍建设。支持企业技术和管理人才到学校任教，鼓励有条件的地方探索产业教师（导师）特设岗位计划。</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教育部，各省级人民政府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19</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适度提高高等学校招收职业教育毕业生比例，建立复合型、创新型技术技能人才系统培养制度。逐步提高高等学校招收有工作实践经历人员的比例。</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教育部会同有关部门</w:t>
            </w:r>
          </w:p>
          <w:p w:rsidR="00A41415" w:rsidRPr="002C595A" w:rsidRDefault="00A41415" w:rsidP="00213523">
            <w:pPr>
              <w:widowControl/>
              <w:rPr>
                <w:rFonts w:ascii="Calibri" w:hAnsi="Calibri" w:cs="宋体"/>
                <w:kern w:val="0"/>
                <w:szCs w:val="21"/>
              </w:rPr>
            </w:pPr>
            <w:r w:rsidRPr="002C595A">
              <w:rPr>
                <w:rFonts w:ascii="Calibri" w:hAnsi="Calibri" w:cs="宋体"/>
                <w:kern w:val="0"/>
                <w:sz w:val="20"/>
                <w:szCs w:val="20"/>
              </w:rPr>
              <w:t> </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20</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加快学校治理结构改革。创新教育培训服务供给。</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教育部会同有关部门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21</w:t>
            </w:r>
          </w:p>
        </w:tc>
        <w:tc>
          <w:tcPr>
            <w:tcW w:w="144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促进产教供需双向对接</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强化行业协调指导。规范发展市场服务组织。打造信息服务平台。健全社会第三方评价。</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国家发展改革委、教育部、有关部门和行业协会，有关省级人民政府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22</w:t>
            </w:r>
          </w:p>
        </w:tc>
        <w:tc>
          <w:tcPr>
            <w:tcW w:w="1444" w:type="dxa"/>
            <w:vMerge w:val="restar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完善政策支持体系</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实施产教融合发展工程。</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国家发展改革委、教育部、人力资源社会保障部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23</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落实财税用地等政策。</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财政部、税务总局、国土资源部、国家发展改革委，各省级人民政府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24</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强化金融支持。</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人民银行、银监会、证监会、保监会、国家发展改革委、财政部</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25</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开展产教融合建设试点。</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国家发展改革委、教育部会同有关部门，各省级人民政府</w:t>
            </w:r>
          </w:p>
        </w:tc>
      </w:tr>
      <w:tr w:rsidR="00A41415" w:rsidRPr="002C595A" w:rsidTr="00213523">
        <w:trPr>
          <w:jc w:val="center"/>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jc w:val="center"/>
              <w:rPr>
                <w:rFonts w:ascii="Calibri" w:hAnsi="Calibri" w:cs="宋体"/>
                <w:kern w:val="0"/>
                <w:szCs w:val="21"/>
              </w:rPr>
            </w:pPr>
            <w:r w:rsidRPr="002C595A">
              <w:rPr>
                <w:rFonts w:ascii="Calibri" w:hAnsi="Calibri" w:cs="宋体"/>
                <w:kern w:val="0"/>
                <w:sz w:val="20"/>
                <w:szCs w:val="20"/>
              </w:rPr>
              <w:t>26</w:t>
            </w:r>
          </w:p>
        </w:tc>
        <w:tc>
          <w:tcPr>
            <w:tcW w:w="0" w:type="auto"/>
            <w:vMerge/>
            <w:tcBorders>
              <w:top w:val="nil"/>
              <w:left w:val="nil"/>
              <w:bottom w:val="single" w:sz="8" w:space="0" w:color="000000"/>
              <w:right w:val="single" w:sz="8" w:space="0" w:color="000000"/>
            </w:tcBorders>
            <w:vAlign w:val="center"/>
            <w:hideMark/>
          </w:tcPr>
          <w:p w:rsidR="00A41415" w:rsidRPr="002C595A" w:rsidRDefault="00A41415" w:rsidP="00213523">
            <w:pPr>
              <w:widowControl/>
              <w:jc w:val="left"/>
              <w:rPr>
                <w:rFonts w:ascii="Calibri" w:hAnsi="Calibri" w:cs="宋体"/>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加强国际交流合作。</w:t>
            </w:r>
          </w:p>
        </w:tc>
        <w:tc>
          <w:tcPr>
            <w:tcW w:w="24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41415" w:rsidRPr="002C595A" w:rsidRDefault="00A41415" w:rsidP="00213523">
            <w:pPr>
              <w:widowControl/>
              <w:rPr>
                <w:rFonts w:ascii="Calibri" w:hAnsi="Calibri" w:cs="宋体"/>
                <w:kern w:val="0"/>
                <w:szCs w:val="21"/>
              </w:rPr>
            </w:pPr>
            <w:r w:rsidRPr="002C595A">
              <w:rPr>
                <w:rFonts w:ascii="宋体" w:hAnsi="宋体" w:cs="宋体" w:hint="eastAsia"/>
                <w:kern w:val="0"/>
                <w:sz w:val="20"/>
                <w:szCs w:val="20"/>
              </w:rPr>
              <w:t>教育部会同有关部门</w:t>
            </w:r>
          </w:p>
        </w:tc>
      </w:tr>
    </w:tbl>
    <w:p w:rsidR="00BC2AA2" w:rsidRDefault="00BC2AA2" w:rsidP="00A41415"/>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415"/>
    <w:rsid w:val="00A41415"/>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41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41415"/>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1415"/>
    <w:rPr>
      <w:rFonts w:ascii="Times New Roman" w:eastAsia="仿宋_GB2312" w:hAnsi="Times New Roman" w:cs="Times New Roman"/>
      <w:b/>
      <w:bCs/>
      <w:kern w:val="44"/>
      <w:sz w:val="32"/>
      <w:szCs w:val="44"/>
    </w:rPr>
  </w:style>
  <w:style w:type="paragraph" w:styleId="a3">
    <w:name w:val="Normal (Web)"/>
    <w:basedOn w:val="a"/>
    <w:unhideWhenUsed/>
    <w:rsid w:val="00A41415"/>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41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41415"/>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1415"/>
    <w:rPr>
      <w:rFonts w:ascii="Times New Roman" w:eastAsia="仿宋_GB2312" w:hAnsi="Times New Roman" w:cs="Times New Roman"/>
      <w:b/>
      <w:bCs/>
      <w:kern w:val="44"/>
      <w:sz w:val="32"/>
      <w:szCs w:val="44"/>
    </w:rPr>
  </w:style>
  <w:style w:type="paragraph" w:styleId="a3">
    <w:name w:val="Normal (Web)"/>
    <w:basedOn w:val="a"/>
    <w:unhideWhenUsed/>
    <w:rsid w:val="00A4141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1175</Words>
  <Characters>6699</Characters>
  <Application>Microsoft Office Word</Application>
  <DocSecurity>0</DocSecurity>
  <Lines>55</Lines>
  <Paragraphs>15</Paragraphs>
  <ScaleCrop>false</ScaleCrop>
  <Company>Win</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2019-04-14T16:52:00Z</dcterms:created>
  <dcterms:modified xsi:type="dcterms:W3CDTF">2019-04-14T16:53:00Z</dcterms:modified>
</cp:coreProperties>
</file>