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683" w:rsidRDefault="009E1683" w:rsidP="009E1683">
      <w:pPr>
        <w:pStyle w:val="1"/>
        <w:jc w:val="center"/>
        <w:rPr>
          <w:sz w:val="36"/>
          <w:szCs w:val="36"/>
        </w:rPr>
      </w:pPr>
      <w:bookmarkStart w:id="0" w:name="_Toc5781736"/>
      <w:bookmarkStart w:id="1" w:name="OLE_LINK75"/>
      <w:bookmarkStart w:id="2" w:name="OLE_LINK76"/>
      <w:bookmarkStart w:id="3" w:name="_GoBack"/>
      <w:r>
        <w:rPr>
          <w:rFonts w:hint="eastAsia"/>
          <w:sz w:val="36"/>
          <w:szCs w:val="36"/>
        </w:rPr>
        <w:t>教育部关于中等职业学校德育课课程设置与教学安排的意见（</w:t>
      </w:r>
      <w:r w:rsidRPr="00F85EFF">
        <w:rPr>
          <w:rFonts w:hint="eastAsia"/>
          <w:sz w:val="36"/>
          <w:szCs w:val="36"/>
        </w:rPr>
        <w:t>教职成</w:t>
      </w:r>
      <w:r w:rsidRPr="00F85EFF">
        <w:rPr>
          <w:rFonts w:hint="eastAsia"/>
          <w:sz w:val="36"/>
          <w:szCs w:val="36"/>
        </w:rPr>
        <w:t>[2008]6</w:t>
      </w:r>
      <w:r w:rsidRPr="00F85EFF">
        <w:rPr>
          <w:rFonts w:hint="eastAsia"/>
          <w:sz w:val="36"/>
          <w:szCs w:val="36"/>
        </w:rPr>
        <w:t>号）</w:t>
      </w:r>
      <w:bookmarkEnd w:id="0"/>
    </w:p>
    <w:bookmarkEnd w:id="1"/>
    <w:bookmarkEnd w:id="2"/>
    <w:bookmarkEnd w:id="3"/>
    <w:p w:rsidR="009E1683" w:rsidRDefault="009E1683" w:rsidP="009E1683">
      <w:pPr>
        <w:pStyle w:val="a3"/>
        <w:rPr>
          <w:rFonts w:ascii="宋体" w:hAnsi="宋体"/>
          <w:vanish/>
          <w:kern w:val="0"/>
          <w:sz w:val="28"/>
          <w:szCs w:val="28"/>
        </w:rPr>
      </w:pPr>
      <w:r>
        <w:rPr>
          <w:rFonts w:ascii="宋体" w:hAnsi="宋体" w:hint="eastAsia"/>
          <w:vanish/>
          <w:kern w:val="0"/>
          <w:sz w:val="28"/>
          <w:szCs w:val="28"/>
        </w:rPr>
        <w:t>教职成[2008]6号</w:t>
      </w:r>
    </w:p>
    <w:p w:rsidR="009E1683" w:rsidRDefault="009E1683" w:rsidP="009E1683">
      <w:pPr>
        <w:pStyle w:val="a3"/>
        <w:rPr>
          <w:rFonts w:ascii="宋体" w:hAnsi="宋体"/>
          <w:kern w:val="0"/>
          <w:sz w:val="28"/>
          <w:szCs w:val="28"/>
        </w:rPr>
      </w:pPr>
      <w:r>
        <w:rPr>
          <w:rFonts w:ascii="宋体" w:hAnsi="宋体" w:hint="eastAsia"/>
          <w:kern w:val="0"/>
          <w:sz w:val="28"/>
          <w:szCs w:val="28"/>
        </w:rPr>
        <w:t>各省、自治区、直辖市教育厅（教委），新疆生产建设兵团教育局，有关部门（单位）教育司（局）：</w:t>
      </w:r>
    </w:p>
    <w:p w:rsidR="009E1683" w:rsidRDefault="009E1683" w:rsidP="009E1683">
      <w:pPr>
        <w:pStyle w:val="a3"/>
        <w:rPr>
          <w:rFonts w:ascii="宋体" w:hAnsi="宋体"/>
          <w:kern w:val="0"/>
          <w:sz w:val="28"/>
          <w:szCs w:val="28"/>
        </w:rPr>
      </w:pPr>
      <w:r>
        <w:rPr>
          <w:rFonts w:ascii="宋体" w:hAnsi="宋体" w:hint="eastAsia"/>
          <w:kern w:val="0"/>
          <w:sz w:val="28"/>
          <w:szCs w:val="28"/>
        </w:rPr>
        <w:t xml:space="preserve">　　为贯彻落实党的十七大精神和《中共中央国务院关于进一步加强和改进未成年人思想道德建设的若干意见》、《国务院关于大力发展职业教育的决定》，加强和改进中等职业学校德育课教学工作，进一步增强德育课教学的针对性、实效性和时代感，提高职业教育质量，我部在认真总结2001年以来中等职业学校德育课改革经验的基础上，进行了新一轮德育课课程改革工作。现就中等职业学校德育课课程设置与教学安排提出如下意见：</w:t>
      </w:r>
    </w:p>
    <w:p w:rsidR="009E1683" w:rsidRDefault="009E1683" w:rsidP="009E1683">
      <w:pPr>
        <w:pStyle w:val="a3"/>
        <w:rPr>
          <w:rFonts w:ascii="宋体" w:hAnsi="宋体"/>
          <w:kern w:val="0"/>
          <w:sz w:val="28"/>
          <w:szCs w:val="28"/>
        </w:rPr>
      </w:pPr>
      <w:r>
        <w:rPr>
          <w:rFonts w:ascii="宋体" w:hAnsi="宋体" w:hint="eastAsia"/>
          <w:kern w:val="0"/>
          <w:sz w:val="28"/>
          <w:szCs w:val="28"/>
        </w:rPr>
        <w:t xml:space="preserve">　　一、中等职业学校德育课是学校德育工作的主渠道，是各专业学生必修的公共基础课，是学校实施素质教育的重要内容。德育课的主要任务是以邓小平理论和“三个代表”重要思想为指导，深入贯彻落实科学发展观，对学生进行思想政治教育、道德教育、法制教育、职业生涯和职业理想教育以及心理健康教育，提高学生的思想政治素质、职业道德和法律素质，促进学生全面发展和综合职业能力形成。德育课教学应遵循“贴近实际、贴近生活、贴近学生”的原则，从学生身心健康发展的规律和中等职业教育培养目标的实际需要出发，注重实践教育、体验教育、养成教育，做到知识学习与能力培养和行为养成相统一，切实增强针对性、实效性和时代感。</w:t>
      </w:r>
    </w:p>
    <w:p w:rsidR="009E1683" w:rsidRDefault="009E1683" w:rsidP="009E1683">
      <w:pPr>
        <w:pStyle w:val="a3"/>
        <w:rPr>
          <w:rFonts w:ascii="宋体" w:hAnsi="宋体"/>
          <w:kern w:val="0"/>
          <w:sz w:val="28"/>
          <w:szCs w:val="28"/>
        </w:rPr>
      </w:pPr>
      <w:r>
        <w:rPr>
          <w:rFonts w:ascii="宋体" w:hAnsi="宋体" w:hint="eastAsia"/>
          <w:kern w:val="0"/>
          <w:sz w:val="28"/>
          <w:szCs w:val="28"/>
        </w:rPr>
        <w:t xml:space="preserve">　　二、中等职业学校德育课分为必修课和选修课两部分。必修课包</w:t>
      </w:r>
      <w:r>
        <w:rPr>
          <w:rFonts w:ascii="宋体" w:hAnsi="宋体" w:hint="eastAsia"/>
          <w:kern w:val="0"/>
          <w:sz w:val="28"/>
          <w:szCs w:val="28"/>
        </w:rPr>
        <w:lastRenderedPageBreak/>
        <w:t>括职业生涯规划、职业道德与法律、经济政治与社会、哲学与人生四门课程。心理健康作为选修课纳入德育课课程体系。其他选修课程由各地根据实际情况开设，报我部（职业教育与成人教育司）审批后由地方组织实施。</w:t>
      </w:r>
    </w:p>
    <w:p w:rsidR="009E1683" w:rsidRDefault="009E1683" w:rsidP="009E1683">
      <w:pPr>
        <w:pStyle w:val="a3"/>
        <w:rPr>
          <w:rFonts w:ascii="宋体" w:hAnsi="宋体"/>
          <w:kern w:val="0"/>
          <w:sz w:val="28"/>
          <w:szCs w:val="28"/>
        </w:rPr>
      </w:pPr>
      <w:r>
        <w:rPr>
          <w:rFonts w:ascii="宋体" w:hAnsi="宋体" w:hint="eastAsia"/>
          <w:kern w:val="0"/>
          <w:sz w:val="28"/>
          <w:szCs w:val="28"/>
        </w:rPr>
        <w:t xml:space="preserve">　　德育课必修课程教学安排如下表：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439"/>
        <w:gridCol w:w="1506"/>
        <w:gridCol w:w="3340"/>
        <w:gridCol w:w="2135"/>
      </w:tblGrid>
      <w:tr w:rsidR="009E1683" w:rsidTr="00213523">
        <w:trPr>
          <w:tblCellSpacing w:w="0" w:type="dxa"/>
          <w:jc w:val="center"/>
        </w:trPr>
        <w:tc>
          <w:tcPr>
            <w:tcW w:w="1439" w:type="dxa"/>
            <w:tcBorders>
              <w:top w:val="outset" w:sz="6" w:space="0" w:color="auto"/>
              <w:left w:val="outset" w:sz="6" w:space="0" w:color="auto"/>
              <w:bottom w:val="outset" w:sz="6" w:space="0" w:color="auto"/>
              <w:right w:val="outset" w:sz="6" w:space="0" w:color="auto"/>
            </w:tcBorders>
            <w:vAlign w:val="center"/>
          </w:tcPr>
          <w:p w:rsidR="009E1683" w:rsidRDefault="009E1683" w:rsidP="00213523">
            <w:pPr>
              <w:pStyle w:val="a3"/>
              <w:jc w:val="center"/>
              <w:rPr>
                <w:rFonts w:ascii="宋体" w:hAnsi="宋体"/>
                <w:kern w:val="0"/>
                <w:sz w:val="28"/>
                <w:szCs w:val="28"/>
              </w:rPr>
            </w:pPr>
            <w:r>
              <w:rPr>
                <w:rFonts w:ascii="宋体" w:hAnsi="宋体" w:hint="eastAsia"/>
                <w:kern w:val="0"/>
                <w:sz w:val="28"/>
                <w:szCs w:val="28"/>
              </w:rPr>
              <w:t>年级</w:t>
            </w:r>
          </w:p>
        </w:tc>
        <w:tc>
          <w:tcPr>
            <w:tcW w:w="1506" w:type="dxa"/>
            <w:tcBorders>
              <w:top w:val="outset" w:sz="6" w:space="0" w:color="auto"/>
              <w:left w:val="outset" w:sz="6" w:space="0" w:color="auto"/>
              <w:bottom w:val="outset" w:sz="6" w:space="0" w:color="auto"/>
              <w:right w:val="outset" w:sz="6" w:space="0" w:color="auto"/>
            </w:tcBorders>
            <w:vAlign w:val="center"/>
          </w:tcPr>
          <w:p w:rsidR="009E1683" w:rsidRDefault="009E1683" w:rsidP="00213523">
            <w:pPr>
              <w:pStyle w:val="a3"/>
              <w:jc w:val="center"/>
              <w:rPr>
                <w:rFonts w:ascii="宋体" w:hAnsi="宋体"/>
                <w:kern w:val="0"/>
                <w:sz w:val="28"/>
                <w:szCs w:val="28"/>
              </w:rPr>
            </w:pPr>
            <w:r>
              <w:rPr>
                <w:rFonts w:ascii="宋体" w:hAnsi="宋体" w:hint="eastAsia"/>
                <w:kern w:val="0"/>
                <w:sz w:val="28"/>
                <w:szCs w:val="28"/>
              </w:rPr>
              <w:t>学　期</w:t>
            </w:r>
          </w:p>
        </w:tc>
        <w:tc>
          <w:tcPr>
            <w:tcW w:w="3340" w:type="dxa"/>
            <w:tcBorders>
              <w:top w:val="outset" w:sz="6" w:space="0" w:color="auto"/>
              <w:left w:val="outset" w:sz="6" w:space="0" w:color="auto"/>
              <w:bottom w:val="outset" w:sz="6" w:space="0" w:color="auto"/>
              <w:right w:val="outset" w:sz="6" w:space="0" w:color="auto"/>
            </w:tcBorders>
            <w:vAlign w:val="center"/>
          </w:tcPr>
          <w:p w:rsidR="009E1683" w:rsidRDefault="009E1683" w:rsidP="00213523">
            <w:pPr>
              <w:pStyle w:val="a3"/>
              <w:jc w:val="center"/>
              <w:rPr>
                <w:rFonts w:ascii="宋体" w:hAnsi="宋体"/>
                <w:kern w:val="0"/>
                <w:sz w:val="28"/>
                <w:szCs w:val="28"/>
              </w:rPr>
            </w:pPr>
            <w:r>
              <w:rPr>
                <w:rFonts w:ascii="宋体" w:hAnsi="宋体" w:hint="eastAsia"/>
                <w:kern w:val="0"/>
                <w:sz w:val="28"/>
                <w:szCs w:val="28"/>
              </w:rPr>
              <w:t>课程</w:t>
            </w:r>
          </w:p>
        </w:tc>
        <w:tc>
          <w:tcPr>
            <w:tcW w:w="2135" w:type="dxa"/>
            <w:tcBorders>
              <w:top w:val="outset" w:sz="6" w:space="0" w:color="auto"/>
              <w:left w:val="outset" w:sz="6" w:space="0" w:color="auto"/>
              <w:bottom w:val="outset" w:sz="6" w:space="0" w:color="auto"/>
              <w:right w:val="outset" w:sz="6" w:space="0" w:color="auto"/>
            </w:tcBorders>
            <w:vAlign w:val="center"/>
          </w:tcPr>
          <w:p w:rsidR="009E1683" w:rsidRDefault="009E1683" w:rsidP="00213523">
            <w:pPr>
              <w:pStyle w:val="a3"/>
              <w:jc w:val="center"/>
              <w:rPr>
                <w:rFonts w:ascii="宋体" w:hAnsi="宋体"/>
                <w:kern w:val="0"/>
                <w:sz w:val="28"/>
                <w:szCs w:val="28"/>
              </w:rPr>
            </w:pPr>
            <w:r>
              <w:rPr>
                <w:rFonts w:ascii="宋体" w:hAnsi="宋体" w:hint="eastAsia"/>
                <w:kern w:val="0"/>
                <w:sz w:val="28"/>
                <w:szCs w:val="28"/>
              </w:rPr>
              <w:t>学时</w:t>
            </w:r>
          </w:p>
        </w:tc>
      </w:tr>
      <w:tr w:rsidR="009E1683" w:rsidTr="00213523">
        <w:trPr>
          <w:tblCellSpacing w:w="0" w:type="dxa"/>
          <w:jc w:val="center"/>
        </w:trPr>
        <w:tc>
          <w:tcPr>
            <w:tcW w:w="1439" w:type="dxa"/>
            <w:vMerge w:val="restart"/>
            <w:tcBorders>
              <w:top w:val="outset" w:sz="6" w:space="0" w:color="auto"/>
              <w:left w:val="outset" w:sz="6" w:space="0" w:color="auto"/>
              <w:bottom w:val="outset" w:sz="6" w:space="0" w:color="auto"/>
              <w:right w:val="outset" w:sz="6" w:space="0" w:color="auto"/>
            </w:tcBorders>
            <w:vAlign w:val="center"/>
          </w:tcPr>
          <w:p w:rsidR="009E1683" w:rsidRDefault="009E1683" w:rsidP="00213523">
            <w:pPr>
              <w:pStyle w:val="a3"/>
              <w:jc w:val="center"/>
              <w:rPr>
                <w:rFonts w:ascii="宋体" w:hAnsi="宋体"/>
                <w:kern w:val="0"/>
                <w:sz w:val="28"/>
                <w:szCs w:val="28"/>
              </w:rPr>
            </w:pPr>
            <w:r>
              <w:rPr>
                <w:rFonts w:ascii="宋体" w:hAnsi="宋体" w:hint="eastAsia"/>
                <w:kern w:val="0"/>
                <w:sz w:val="28"/>
                <w:szCs w:val="28"/>
              </w:rPr>
              <w:t>一年级</w:t>
            </w:r>
          </w:p>
        </w:tc>
        <w:tc>
          <w:tcPr>
            <w:tcW w:w="1506" w:type="dxa"/>
            <w:tcBorders>
              <w:top w:val="outset" w:sz="6" w:space="0" w:color="auto"/>
              <w:left w:val="outset" w:sz="6" w:space="0" w:color="auto"/>
              <w:bottom w:val="outset" w:sz="6" w:space="0" w:color="auto"/>
              <w:right w:val="outset" w:sz="6" w:space="0" w:color="auto"/>
            </w:tcBorders>
            <w:vAlign w:val="center"/>
          </w:tcPr>
          <w:p w:rsidR="009E1683" w:rsidRDefault="009E1683" w:rsidP="00213523">
            <w:pPr>
              <w:pStyle w:val="a3"/>
              <w:jc w:val="center"/>
              <w:rPr>
                <w:rFonts w:ascii="宋体" w:hAnsi="宋体"/>
                <w:kern w:val="0"/>
                <w:sz w:val="28"/>
                <w:szCs w:val="28"/>
              </w:rPr>
            </w:pPr>
            <w:r>
              <w:rPr>
                <w:rFonts w:ascii="宋体" w:hAnsi="宋体" w:hint="eastAsia"/>
                <w:kern w:val="0"/>
                <w:sz w:val="28"/>
                <w:szCs w:val="28"/>
              </w:rPr>
              <w:t>第一学期</w:t>
            </w:r>
          </w:p>
        </w:tc>
        <w:tc>
          <w:tcPr>
            <w:tcW w:w="3340" w:type="dxa"/>
            <w:tcBorders>
              <w:top w:val="outset" w:sz="6" w:space="0" w:color="auto"/>
              <w:left w:val="outset" w:sz="6" w:space="0" w:color="auto"/>
              <w:bottom w:val="outset" w:sz="6" w:space="0" w:color="auto"/>
              <w:right w:val="outset" w:sz="6" w:space="0" w:color="auto"/>
            </w:tcBorders>
            <w:vAlign w:val="center"/>
          </w:tcPr>
          <w:p w:rsidR="009E1683" w:rsidRDefault="009E1683" w:rsidP="00213523">
            <w:pPr>
              <w:pStyle w:val="a3"/>
              <w:jc w:val="center"/>
              <w:rPr>
                <w:rFonts w:ascii="宋体" w:hAnsi="宋体"/>
                <w:kern w:val="0"/>
                <w:sz w:val="28"/>
                <w:szCs w:val="28"/>
              </w:rPr>
            </w:pPr>
            <w:r>
              <w:rPr>
                <w:rFonts w:ascii="宋体" w:hAnsi="宋体" w:hint="eastAsia"/>
                <w:kern w:val="0"/>
                <w:sz w:val="28"/>
                <w:szCs w:val="28"/>
              </w:rPr>
              <w:t>职业生涯规划</w:t>
            </w:r>
          </w:p>
        </w:tc>
        <w:tc>
          <w:tcPr>
            <w:tcW w:w="2135" w:type="dxa"/>
            <w:tcBorders>
              <w:top w:val="outset" w:sz="6" w:space="0" w:color="auto"/>
              <w:left w:val="outset" w:sz="6" w:space="0" w:color="auto"/>
              <w:bottom w:val="outset" w:sz="6" w:space="0" w:color="auto"/>
              <w:right w:val="outset" w:sz="6" w:space="0" w:color="auto"/>
            </w:tcBorders>
            <w:vAlign w:val="center"/>
          </w:tcPr>
          <w:p w:rsidR="009E1683" w:rsidRDefault="009E1683" w:rsidP="00213523">
            <w:pPr>
              <w:pStyle w:val="a3"/>
              <w:jc w:val="center"/>
              <w:rPr>
                <w:rFonts w:ascii="宋体" w:hAnsi="宋体"/>
                <w:kern w:val="0"/>
                <w:sz w:val="28"/>
                <w:szCs w:val="28"/>
              </w:rPr>
            </w:pPr>
            <w:r>
              <w:rPr>
                <w:rFonts w:ascii="宋体" w:hAnsi="宋体" w:hint="eastAsia"/>
                <w:kern w:val="0"/>
                <w:sz w:val="28"/>
                <w:szCs w:val="28"/>
              </w:rPr>
              <w:t>32—36</w:t>
            </w:r>
          </w:p>
        </w:tc>
      </w:tr>
      <w:tr w:rsidR="009E1683" w:rsidTr="00213523">
        <w:trPr>
          <w:tblCellSpacing w:w="0" w:type="dxa"/>
          <w:jc w:val="center"/>
        </w:trPr>
        <w:tc>
          <w:tcPr>
            <w:tcW w:w="1439" w:type="dxa"/>
            <w:vMerge/>
            <w:tcBorders>
              <w:top w:val="outset" w:sz="6" w:space="0" w:color="auto"/>
              <w:left w:val="outset" w:sz="6" w:space="0" w:color="auto"/>
              <w:bottom w:val="outset" w:sz="6" w:space="0" w:color="auto"/>
              <w:right w:val="outset" w:sz="6" w:space="0" w:color="auto"/>
            </w:tcBorders>
            <w:vAlign w:val="center"/>
          </w:tcPr>
          <w:p w:rsidR="009E1683" w:rsidRDefault="009E1683" w:rsidP="00213523">
            <w:pPr>
              <w:pStyle w:val="a3"/>
              <w:jc w:val="center"/>
              <w:rPr>
                <w:rFonts w:ascii="宋体" w:hAnsi="宋体"/>
                <w:kern w:val="0"/>
                <w:sz w:val="28"/>
                <w:szCs w:val="28"/>
              </w:rPr>
            </w:pPr>
          </w:p>
        </w:tc>
        <w:tc>
          <w:tcPr>
            <w:tcW w:w="1506" w:type="dxa"/>
            <w:tcBorders>
              <w:top w:val="outset" w:sz="6" w:space="0" w:color="auto"/>
              <w:left w:val="outset" w:sz="6" w:space="0" w:color="auto"/>
              <w:bottom w:val="outset" w:sz="6" w:space="0" w:color="auto"/>
              <w:right w:val="outset" w:sz="6" w:space="0" w:color="auto"/>
            </w:tcBorders>
            <w:vAlign w:val="center"/>
          </w:tcPr>
          <w:p w:rsidR="009E1683" w:rsidRDefault="009E1683" w:rsidP="00213523">
            <w:pPr>
              <w:pStyle w:val="a3"/>
              <w:jc w:val="center"/>
              <w:rPr>
                <w:rFonts w:ascii="宋体" w:hAnsi="宋体"/>
                <w:kern w:val="0"/>
                <w:sz w:val="28"/>
                <w:szCs w:val="28"/>
              </w:rPr>
            </w:pPr>
            <w:r>
              <w:rPr>
                <w:rFonts w:ascii="宋体" w:hAnsi="宋体" w:hint="eastAsia"/>
                <w:kern w:val="0"/>
                <w:sz w:val="28"/>
                <w:szCs w:val="28"/>
              </w:rPr>
              <w:t>第二学期</w:t>
            </w:r>
          </w:p>
        </w:tc>
        <w:tc>
          <w:tcPr>
            <w:tcW w:w="3340" w:type="dxa"/>
            <w:tcBorders>
              <w:top w:val="outset" w:sz="6" w:space="0" w:color="auto"/>
              <w:left w:val="outset" w:sz="6" w:space="0" w:color="auto"/>
              <w:bottom w:val="outset" w:sz="6" w:space="0" w:color="auto"/>
              <w:right w:val="outset" w:sz="6" w:space="0" w:color="auto"/>
            </w:tcBorders>
            <w:vAlign w:val="center"/>
          </w:tcPr>
          <w:p w:rsidR="009E1683" w:rsidRDefault="009E1683" w:rsidP="00213523">
            <w:pPr>
              <w:pStyle w:val="a3"/>
              <w:jc w:val="center"/>
              <w:rPr>
                <w:rFonts w:ascii="宋体" w:hAnsi="宋体"/>
                <w:kern w:val="0"/>
                <w:sz w:val="28"/>
                <w:szCs w:val="28"/>
              </w:rPr>
            </w:pPr>
            <w:r>
              <w:rPr>
                <w:rFonts w:ascii="宋体" w:hAnsi="宋体" w:hint="eastAsia"/>
                <w:kern w:val="0"/>
                <w:sz w:val="28"/>
                <w:szCs w:val="28"/>
              </w:rPr>
              <w:t>职业道德与法律</w:t>
            </w:r>
          </w:p>
        </w:tc>
        <w:tc>
          <w:tcPr>
            <w:tcW w:w="2135" w:type="dxa"/>
            <w:tcBorders>
              <w:top w:val="outset" w:sz="6" w:space="0" w:color="auto"/>
              <w:left w:val="outset" w:sz="6" w:space="0" w:color="auto"/>
              <w:bottom w:val="outset" w:sz="6" w:space="0" w:color="auto"/>
              <w:right w:val="outset" w:sz="6" w:space="0" w:color="auto"/>
            </w:tcBorders>
            <w:vAlign w:val="center"/>
          </w:tcPr>
          <w:p w:rsidR="009E1683" w:rsidRDefault="009E1683" w:rsidP="00213523">
            <w:pPr>
              <w:pStyle w:val="a3"/>
              <w:jc w:val="center"/>
              <w:rPr>
                <w:rFonts w:ascii="宋体" w:hAnsi="宋体"/>
                <w:kern w:val="0"/>
                <w:sz w:val="28"/>
                <w:szCs w:val="28"/>
              </w:rPr>
            </w:pPr>
            <w:r>
              <w:rPr>
                <w:rFonts w:ascii="宋体" w:hAnsi="宋体" w:hint="eastAsia"/>
                <w:kern w:val="0"/>
                <w:sz w:val="28"/>
                <w:szCs w:val="28"/>
              </w:rPr>
              <w:t>32—36</w:t>
            </w:r>
          </w:p>
        </w:tc>
      </w:tr>
      <w:tr w:rsidR="009E1683" w:rsidTr="00213523">
        <w:trPr>
          <w:tblCellSpacing w:w="0" w:type="dxa"/>
          <w:jc w:val="center"/>
        </w:trPr>
        <w:tc>
          <w:tcPr>
            <w:tcW w:w="1439" w:type="dxa"/>
            <w:vMerge w:val="restart"/>
            <w:tcBorders>
              <w:top w:val="outset" w:sz="6" w:space="0" w:color="auto"/>
              <w:left w:val="outset" w:sz="6" w:space="0" w:color="auto"/>
              <w:bottom w:val="outset" w:sz="6" w:space="0" w:color="auto"/>
              <w:right w:val="outset" w:sz="6" w:space="0" w:color="auto"/>
            </w:tcBorders>
            <w:vAlign w:val="center"/>
          </w:tcPr>
          <w:p w:rsidR="009E1683" w:rsidRDefault="009E1683" w:rsidP="00213523">
            <w:pPr>
              <w:pStyle w:val="a3"/>
              <w:jc w:val="center"/>
              <w:rPr>
                <w:rFonts w:ascii="宋体" w:hAnsi="宋体"/>
                <w:kern w:val="0"/>
                <w:sz w:val="28"/>
                <w:szCs w:val="28"/>
              </w:rPr>
            </w:pPr>
            <w:r>
              <w:rPr>
                <w:rFonts w:ascii="宋体" w:hAnsi="宋体" w:hint="eastAsia"/>
                <w:kern w:val="0"/>
                <w:sz w:val="28"/>
                <w:szCs w:val="28"/>
              </w:rPr>
              <w:t>二年级</w:t>
            </w:r>
          </w:p>
        </w:tc>
        <w:tc>
          <w:tcPr>
            <w:tcW w:w="1506" w:type="dxa"/>
            <w:tcBorders>
              <w:top w:val="outset" w:sz="6" w:space="0" w:color="auto"/>
              <w:left w:val="outset" w:sz="6" w:space="0" w:color="auto"/>
              <w:bottom w:val="outset" w:sz="6" w:space="0" w:color="auto"/>
              <w:right w:val="outset" w:sz="6" w:space="0" w:color="auto"/>
            </w:tcBorders>
            <w:vAlign w:val="center"/>
          </w:tcPr>
          <w:p w:rsidR="009E1683" w:rsidRDefault="009E1683" w:rsidP="00213523">
            <w:pPr>
              <w:pStyle w:val="a3"/>
              <w:jc w:val="center"/>
              <w:rPr>
                <w:rFonts w:ascii="宋体" w:hAnsi="宋体"/>
                <w:kern w:val="0"/>
                <w:sz w:val="28"/>
                <w:szCs w:val="28"/>
              </w:rPr>
            </w:pPr>
            <w:r>
              <w:rPr>
                <w:rFonts w:ascii="宋体" w:hAnsi="宋体" w:hint="eastAsia"/>
                <w:kern w:val="0"/>
                <w:sz w:val="28"/>
                <w:szCs w:val="28"/>
              </w:rPr>
              <w:t>第三学期</w:t>
            </w:r>
          </w:p>
        </w:tc>
        <w:tc>
          <w:tcPr>
            <w:tcW w:w="3340" w:type="dxa"/>
            <w:tcBorders>
              <w:top w:val="outset" w:sz="6" w:space="0" w:color="auto"/>
              <w:left w:val="outset" w:sz="6" w:space="0" w:color="auto"/>
              <w:bottom w:val="outset" w:sz="6" w:space="0" w:color="auto"/>
              <w:right w:val="outset" w:sz="6" w:space="0" w:color="auto"/>
            </w:tcBorders>
            <w:vAlign w:val="center"/>
          </w:tcPr>
          <w:p w:rsidR="009E1683" w:rsidRDefault="009E1683" w:rsidP="00213523">
            <w:pPr>
              <w:pStyle w:val="a3"/>
              <w:jc w:val="center"/>
              <w:rPr>
                <w:rFonts w:ascii="宋体" w:hAnsi="宋体"/>
                <w:kern w:val="0"/>
                <w:sz w:val="28"/>
                <w:szCs w:val="28"/>
              </w:rPr>
            </w:pPr>
            <w:r>
              <w:rPr>
                <w:rFonts w:ascii="宋体" w:hAnsi="宋体" w:hint="eastAsia"/>
                <w:kern w:val="0"/>
                <w:sz w:val="28"/>
                <w:szCs w:val="28"/>
              </w:rPr>
              <w:t>经济政治与社会</w:t>
            </w:r>
          </w:p>
        </w:tc>
        <w:tc>
          <w:tcPr>
            <w:tcW w:w="2135" w:type="dxa"/>
            <w:tcBorders>
              <w:top w:val="outset" w:sz="6" w:space="0" w:color="auto"/>
              <w:left w:val="outset" w:sz="6" w:space="0" w:color="auto"/>
              <w:bottom w:val="outset" w:sz="6" w:space="0" w:color="auto"/>
              <w:right w:val="outset" w:sz="6" w:space="0" w:color="auto"/>
            </w:tcBorders>
            <w:vAlign w:val="center"/>
          </w:tcPr>
          <w:p w:rsidR="009E1683" w:rsidRDefault="009E1683" w:rsidP="00213523">
            <w:pPr>
              <w:pStyle w:val="a3"/>
              <w:jc w:val="center"/>
              <w:rPr>
                <w:rFonts w:ascii="宋体" w:hAnsi="宋体"/>
                <w:kern w:val="0"/>
                <w:sz w:val="28"/>
                <w:szCs w:val="28"/>
              </w:rPr>
            </w:pPr>
            <w:r>
              <w:rPr>
                <w:rFonts w:ascii="宋体" w:hAnsi="宋体" w:hint="eastAsia"/>
                <w:kern w:val="0"/>
                <w:sz w:val="28"/>
                <w:szCs w:val="28"/>
              </w:rPr>
              <w:t>32—36</w:t>
            </w:r>
          </w:p>
        </w:tc>
      </w:tr>
      <w:tr w:rsidR="009E1683" w:rsidTr="00213523">
        <w:trPr>
          <w:tblCellSpacing w:w="0" w:type="dxa"/>
          <w:jc w:val="center"/>
        </w:trPr>
        <w:tc>
          <w:tcPr>
            <w:tcW w:w="1439" w:type="dxa"/>
            <w:vMerge/>
            <w:tcBorders>
              <w:top w:val="outset" w:sz="6" w:space="0" w:color="auto"/>
              <w:left w:val="outset" w:sz="6" w:space="0" w:color="auto"/>
              <w:bottom w:val="outset" w:sz="6" w:space="0" w:color="auto"/>
              <w:right w:val="outset" w:sz="6" w:space="0" w:color="auto"/>
            </w:tcBorders>
            <w:vAlign w:val="center"/>
          </w:tcPr>
          <w:p w:rsidR="009E1683" w:rsidRDefault="009E1683" w:rsidP="00213523">
            <w:pPr>
              <w:pStyle w:val="a3"/>
              <w:jc w:val="center"/>
              <w:rPr>
                <w:rFonts w:ascii="宋体" w:hAnsi="宋体"/>
                <w:kern w:val="0"/>
                <w:sz w:val="28"/>
                <w:szCs w:val="28"/>
              </w:rPr>
            </w:pPr>
          </w:p>
        </w:tc>
        <w:tc>
          <w:tcPr>
            <w:tcW w:w="1506" w:type="dxa"/>
            <w:tcBorders>
              <w:top w:val="outset" w:sz="6" w:space="0" w:color="auto"/>
              <w:left w:val="outset" w:sz="6" w:space="0" w:color="auto"/>
              <w:bottom w:val="outset" w:sz="6" w:space="0" w:color="auto"/>
              <w:right w:val="outset" w:sz="6" w:space="0" w:color="auto"/>
            </w:tcBorders>
            <w:vAlign w:val="center"/>
          </w:tcPr>
          <w:p w:rsidR="009E1683" w:rsidRDefault="009E1683" w:rsidP="00213523">
            <w:pPr>
              <w:pStyle w:val="a3"/>
              <w:jc w:val="center"/>
              <w:rPr>
                <w:rFonts w:ascii="宋体" w:hAnsi="宋体"/>
                <w:kern w:val="0"/>
                <w:sz w:val="28"/>
                <w:szCs w:val="28"/>
              </w:rPr>
            </w:pPr>
            <w:r>
              <w:rPr>
                <w:rFonts w:ascii="宋体" w:hAnsi="宋体" w:hint="eastAsia"/>
                <w:kern w:val="0"/>
                <w:sz w:val="28"/>
                <w:szCs w:val="28"/>
              </w:rPr>
              <w:t>第四学期</w:t>
            </w:r>
          </w:p>
        </w:tc>
        <w:tc>
          <w:tcPr>
            <w:tcW w:w="3340" w:type="dxa"/>
            <w:tcBorders>
              <w:top w:val="outset" w:sz="6" w:space="0" w:color="auto"/>
              <w:left w:val="outset" w:sz="6" w:space="0" w:color="auto"/>
              <w:bottom w:val="outset" w:sz="6" w:space="0" w:color="auto"/>
              <w:right w:val="outset" w:sz="6" w:space="0" w:color="auto"/>
            </w:tcBorders>
            <w:vAlign w:val="center"/>
          </w:tcPr>
          <w:p w:rsidR="009E1683" w:rsidRDefault="009E1683" w:rsidP="00213523">
            <w:pPr>
              <w:pStyle w:val="a3"/>
              <w:jc w:val="center"/>
              <w:rPr>
                <w:rFonts w:ascii="宋体" w:hAnsi="宋体"/>
                <w:kern w:val="0"/>
                <w:sz w:val="28"/>
                <w:szCs w:val="28"/>
              </w:rPr>
            </w:pPr>
            <w:r>
              <w:rPr>
                <w:rFonts w:ascii="宋体" w:hAnsi="宋体" w:hint="eastAsia"/>
                <w:kern w:val="0"/>
                <w:sz w:val="28"/>
                <w:szCs w:val="28"/>
              </w:rPr>
              <w:t>哲学与人生</w:t>
            </w:r>
          </w:p>
        </w:tc>
        <w:tc>
          <w:tcPr>
            <w:tcW w:w="2135" w:type="dxa"/>
            <w:tcBorders>
              <w:top w:val="outset" w:sz="6" w:space="0" w:color="auto"/>
              <w:left w:val="outset" w:sz="6" w:space="0" w:color="auto"/>
              <w:bottom w:val="outset" w:sz="6" w:space="0" w:color="auto"/>
              <w:right w:val="outset" w:sz="6" w:space="0" w:color="auto"/>
            </w:tcBorders>
            <w:vAlign w:val="center"/>
          </w:tcPr>
          <w:p w:rsidR="009E1683" w:rsidRDefault="009E1683" w:rsidP="00213523">
            <w:pPr>
              <w:pStyle w:val="a3"/>
              <w:jc w:val="center"/>
              <w:rPr>
                <w:rFonts w:ascii="宋体" w:hAnsi="宋体"/>
                <w:kern w:val="0"/>
                <w:sz w:val="28"/>
                <w:szCs w:val="28"/>
              </w:rPr>
            </w:pPr>
            <w:r>
              <w:rPr>
                <w:rFonts w:ascii="宋体" w:hAnsi="宋体" w:hint="eastAsia"/>
                <w:kern w:val="0"/>
                <w:sz w:val="28"/>
                <w:szCs w:val="28"/>
              </w:rPr>
              <w:t>32—36</w:t>
            </w:r>
          </w:p>
        </w:tc>
      </w:tr>
    </w:tbl>
    <w:p w:rsidR="009E1683" w:rsidRDefault="009E1683" w:rsidP="009E1683">
      <w:pPr>
        <w:pStyle w:val="a3"/>
        <w:rPr>
          <w:rFonts w:ascii="宋体" w:hAnsi="宋体"/>
          <w:kern w:val="0"/>
          <w:sz w:val="28"/>
          <w:szCs w:val="28"/>
        </w:rPr>
      </w:pPr>
      <w:r>
        <w:rPr>
          <w:rFonts w:ascii="宋体" w:hAnsi="宋体" w:hint="eastAsia"/>
          <w:kern w:val="0"/>
          <w:sz w:val="28"/>
          <w:szCs w:val="28"/>
        </w:rPr>
        <w:t> 　　德育选修课程的教学时间，一般不少于64学时。选修课除对学生进行心理健康教育外，还应根据国家形势发展进行时事政策教育，结合学校德育工作、学生社会实践、专业学习、顶岗实习进行预防艾滋病教育、毒品预防教育、环境教育、廉洁教育、安全教育等。</w:t>
      </w:r>
    </w:p>
    <w:p w:rsidR="009E1683" w:rsidRDefault="009E1683" w:rsidP="009E1683">
      <w:pPr>
        <w:pStyle w:val="a3"/>
        <w:rPr>
          <w:rFonts w:ascii="宋体" w:hAnsi="宋体"/>
          <w:kern w:val="0"/>
          <w:sz w:val="28"/>
          <w:szCs w:val="28"/>
        </w:rPr>
      </w:pPr>
      <w:r>
        <w:rPr>
          <w:rFonts w:ascii="宋体" w:hAnsi="宋体" w:hint="eastAsia"/>
          <w:kern w:val="0"/>
          <w:sz w:val="28"/>
          <w:szCs w:val="28"/>
        </w:rPr>
        <w:t xml:space="preserve">　　财经、政法类专业及其他文科专业，由于其专业课程与德育课在内容上有交叉，各地可按照上述课程设置与教学安排的要求，根据专业培养目标的需要，适当调整有关课程的内容和学时。</w:t>
      </w:r>
    </w:p>
    <w:p w:rsidR="009E1683" w:rsidRDefault="009E1683" w:rsidP="009E1683">
      <w:pPr>
        <w:pStyle w:val="a3"/>
        <w:rPr>
          <w:rFonts w:ascii="宋体" w:hAnsi="宋体"/>
          <w:kern w:val="0"/>
          <w:sz w:val="28"/>
          <w:szCs w:val="28"/>
        </w:rPr>
      </w:pPr>
      <w:r>
        <w:rPr>
          <w:rFonts w:ascii="宋体" w:hAnsi="宋体" w:hint="eastAsia"/>
          <w:kern w:val="0"/>
          <w:sz w:val="28"/>
          <w:szCs w:val="28"/>
        </w:rPr>
        <w:t xml:space="preserve">　　各校对以上德育课各门课程教学安排的顺序，可根据具体情况进行适当调整，但必须保证各门课程的教学时数。</w:t>
      </w:r>
    </w:p>
    <w:p w:rsidR="009E1683" w:rsidRDefault="009E1683" w:rsidP="009E1683">
      <w:pPr>
        <w:pStyle w:val="a3"/>
        <w:rPr>
          <w:rFonts w:ascii="宋体" w:hAnsi="宋体"/>
          <w:kern w:val="0"/>
          <w:sz w:val="28"/>
          <w:szCs w:val="28"/>
        </w:rPr>
      </w:pPr>
      <w:r>
        <w:rPr>
          <w:rFonts w:ascii="宋体" w:hAnsi="宋体" w:hint="eastAsia"/>
          <w:kern w:val="0"/>
          <w:sz w:val="28"/>
          <w:szCs w:val="28"/>
        </w:rPr>
        <w:t xml:space="preserve">　　三、上述德育课课程设置与教学安排意见，自2009年秋季入学的中等职业学校一年级新生开始执行。届时，2001年发布实施的中等职业学校德育课课程设置方案和课程教学大纲停止使用。</w:t>
      </w:r>
    </w:p>
    <w:p w:rsidR="009E1683" w:rsidRDefault="009E1683" w:rsidP="009E1683">
      <w:pPr>
        <w:pStyle w:val="a3"/>
        <w:rPr>
          <w:rFonts w:ascii="宋体" w:hAnsi="宋体"/>
          <w:kern w:val="0"/>
          <w:sz w:val="28"/>
          <w:szCs w:val="28"/>
        </w:rPr>
      </w:pPr>
      <w:r>
        <w:rPr>
          <w:rFonts w:ascii="宋体" w:hAnsi="宋体" w:hint="eastAsia"/>
          <w:kern w:val="0"/>
          <w:sz w:val="28"/>
          <w:szCs w:val="28"/>
        </w:rPr>
        <w:lastRenderedPageBreak/>
        <w:t xml:space="preserve">　　四、我部负责制定中等职业学校德育课必修课程和部分选修课程的教学大纲，组织编写教材及相应的教学参考书，并协调解决本课程设置与教学安排意见实施中的有关问题。未经批准，任何单位、组织和个人不得擅自组织编写和推荐德育课教材和教学参考书。</w:t>
      </w:r>
    </w:p>
    <w:p w:rsidR="009E1683" w:rsidRDefault="009E1683" w:rsidP="009E1683">
      <w:pPr>
        <w:pStyle w:val="a3"/>
        <w:rPr>
          <w:rFonts w:ascii="宋体" w:hAnsi="宋体"/>
          <w:kern w:val="0"/>
          <w:sz w:val="28"/>
          <w:szCs w:val="28"/>
        </w:rPr>
      </w:pPr>
      <w:r>
        <w:rPr>
          <w:rFonts w:ascii="宋体" w:hAnsi="宋体" w:hint="eastAsia"/>
          <w:kern w:val="0"/>
          <w:sz w:val="28"/>
          <w:szCs w:val="28"/>
        </w:rPr>
        <w:t xml:space="preserve">　　五、地方各级教育行政部门要切实加强对中等职业学校德育课教学工作的领导，做好课程改革方案实施的准备工作。2009年秋季开学之前，我部将组织编写出版德育课新教材，进行新一轮德育课课程改革国家级培训。各地、各学校要认真组织学习本意见和新的中等职业学校德育课课程教学大纲，组织好德育课教师的培训工作，为新一轮德育课课程改革方案的全面实施做好充分准备。</w:t>
      </w:r>
    </w:p>
    <w:p w:rsidR="009E1683" w:rsidRDefault="009E1683" w:rsidP="009E1683">
      <w:pPr>
        <w:pStyle w:val="a3"/>
        <w:rPr>
          <w:rFonts w:ascii="宋体" w:hAnsi="宋体"/>
          <w:kern w:val="0"/>
          <w:sz w:val="28"/>
          <w:szCs w:val="28"/>
        </w:rPr>
      </w:pPr>
    </w:p>
    <w:p w:rsidR="009E1683" w:rsidRDefault="009E1683" w:rsidP="009E1683">
      <w:pPr>
        <w:pStyle w:val="a3"/>
        <w:ind w:firstLineChars="1900" w:firstLine="5320"/>
        <w:rPr>
          <w:rFonts w:ascii="宋体" w:hAnsi="宋体"/>
          <w:kern w:val="0"/>
          <w:sz w:val="28"/>
          <w:szCs w:val="28"/>
        </w:rPr>
      </w:pPr>
      <w:r>
        <w:rPr>
          <w:rFonts w:ascii="宋体" w:hAnsi="宋体" w:hint="eastAsia"/>
          <w:kern w:val="0"/>
          <w:sz w:val="28"/>
          <w:szCs w:val="28"/>
        </w:rPr>
        <w:t>中华人民共和国教育部</w:t>
      </w:r>
    </w:p>
    <w:p w:rsidR="009E1683" w:rsidRDefault="009E1683" w:rsidP="009E1683">
      <w:pPr>
        <w:ind w:firstLineChars="1900" w:firstLine="5320"/>
        <w:rPr>
          <w:rFonts w:hint="eastAsia"/>
        </w:rPr>
      </w:pPr>
      <w:r>
        <w:rPr>
          <w:rFonts w:ascii="宋体" w:hAnsi="宋体" w:hint="eastAsia"/>
          <w:kern w:val="0"/>
          <w:sz w:val="28"/>
          <w:szCs w:val="28"/>
        </w:rPr>
        <w:t>二○○八年十二月十日</w:t>
      </w:r>
    </w:p>
    <w:p w:rsidR="00BC2AA2" w:rsidRPr="009E1683" w:rsidRDefault="00BC2AA2"/>
    <w:sectPr w:rsidR="00BC2AA2" w:rsidRPr="009E16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683"/>
    <w:rsid w:val="009E1683"/>
    <w:rsid w:val="00BC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68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E1683"/>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E1683"/>
    <w:rPr>
      <w:rFonts w:ascii="Times New Roman" w:eastAsia="仿宋_GB2312" w:hAnsi="Times New Roman" w:cs="Times New Roman"/>
      <w:b/>
      <w:bCs/>
      <w:kern w:val="44"/>
      <w:sz w:val="32"/>
      <w:szCs w:val="44"/>
    </w:rPr>
  </w:style>
  <w:style w:type="paragraph" w:styleId="a3">
    <w:name w:val="No Spacing"/>
    <w:uiPriority w:val="1"/>
    <w:qFormat/>
    <w:rsid w:val="009E1683"/>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68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E1683"/>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E1683"/>
    <w:rPr>
      <w:rFonts w:ascii="Times New Roman" w:eastAsia="仿宋_GB2312" w:hAnsi="Times New Roman" w:cs="Times New Roman"/>
      <w:b/>
      <w:bCs/>
      <w:kern w:val="44"/>
      <w:sz w:val="32"/>
      <w:szCs w:val="44"/>
    </w:rPr>
  </w:style>
  <w:style w:type="paragraph" w:styleId="a3">
    <w:name w:val="No Spacing"/>
    <w:uiPriority w:val="1"/>
    <w:qFormat/>
    <w:rsid w:val="009E1683"/>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222</Words>
  <Characters>1272</Characters>
  <Application>Microsoft Office Word</Application>
  <DocSecurity>0</DocSecurity>
  <Lines>10</Lines>
  <Paragraphs>2</Paragraphs>
  <ScaleCrop>false</ScaleCrop>
  <Company>Win</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2019-04-14T16:11:00Z</dcterms:created>
  <dcterms:modified xsi:type="dcterms:W3CDTF">2019-04-14T16:11:00Z</dcterms:modified>
</cp:coreProperties>
</file>